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E3747D" w:rsidRDefault="00A947B3">
      <w:pPr>
        <w:rPr>
          <w:b/>
          <w:sz w:val="28"/>
          <w:szCs w:val="28"/>
        </w:rPr>
      </w:pPr>
      <w:r w:rsidRPr="00A947B3">
        <w:rPr>
          <w:b/>
          <w:sz w:val="28"/>
          <w:szCs w:val="28"/>
        </w:rPr>
        <w:t xml:space="preserve">Venous thromboembolism in over 16s: reducing the risk of hospital-acquired deep vein thrombosis or pulmonary embolism </w:t>
      </w:r>
      <w:bookmarkStart w:id="0" w:name="_GoBack"/>
      <w:bookmarkEnd w:id="0"/>
    </w:p>
    <w:p w:rsidR="00A947B3" w:rsidRDefault="00A947B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692AC0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947B3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E3747D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1086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2018-03-21T13:36:00Z</dcterms:created>
  <dcterms:modified xsi:type="dcterms:W3CDTF">2018-03-21T13:36:00Z</dcterms:modified>
</cp:coreProperties>
</file>