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F275EA">
      <w:pPr>
        <w:rPr>
          <w:b/>
          <w:sz w:val="28"/>
          <w:szCs w:val="28"/>
        </w:rPr>
      </w:pPr>
      <w:proofErr w:type="spellStart"/>
      <w:r w:rsidRPr="00F275EA">
        <w:rPr>
          <w:b/>
          <w:sz w:val="28"/>
          <w:szCs w:val="28"/>
        </w:rPr>
        <w:t>Ibrutinib</w:t>
      </w:r>
      <w:proofErr w:type="spellEnd"/>
      <w:r w:rsidRPr="00F275EA">
        <w:rPr>
          <w:b/>
          <w:sz w:val="28"/>
          <w:szCs w:val="28"/>
        </w:rPr>
        <w:t xml:space="preserve"> for previously treated chronic lymphocytic leukaemia and untreated chronic lymphocytic leukaemia with 17p deletion or TP53 mutation</w:t>
      </w:r>
    </w:p>
    <w:p w:rsidR="00F275EA" w:rsidRDefault="00F275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562D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562D06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  <w:rsid w:val="00F2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D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2D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1106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2016-11-25T10:44:00Z</dcterms:created>
  <dcterms:modified xsi:type="dcterms:W3CDTF">2016-11-25T10:44:00Z</dcterms:modified>
</cp:coreProperties>
</file>