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B68E6" w:rsidRDefault="00F00606">
      <w:pPr>
        <w:rPr>
          <w:b/>
          <w:sz w:val="28"/>
          <w:szCs w:val="28"/>
        </w:rPr>
      </w:pPr>
      <w:proofErr w:type="spellStart"/>
      <w:r w:rsidRPr="00F00606">
        <w:rPr>
          <w:b/>
          <w:sz w:val="28"/>
          <w:szCs w:val="28"/>
        </w:rPr>
        <w:t>Nivolumab</w:t>
      </w:r>
      <w:proofErr w:type="spellEnd"/>
      <w:r w:rsidRPr="00F00606">
        <w:rPr>
          <w:b/>
          <w:sz w:val="28"/>
          <w:szCs w:val="28"/>
        </w:rPr>
        <w:t xml:space="preserve"> for relapsed or refractory classical Hodgkin lymphoma</w:t>
      </w:r>
    </w:p>
    <w:p w:rsidR="00F00606" w:rsidRDefault="00F006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B68E6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8E0B4E"/>
    <w:rsid w:val="0096479E"/>
    <w:rsid w:val="00AA422D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F00606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2017-06-05T08:09:00Z</dcterms:created>
  <dcterms:modified xsi:type="dcterms:W3CDTF">2017-06-05T08:09:00Z</dcterms:modified>
</cp:coreProperties>
</file>