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7A4084" w:rsidRDefault="00151820">
      <w:pPr>
        <w:rPr>
          <w:b/>
          <w:sz w:val="28"/>
          <w:szCs w:val="28"/>
        </w:rPr>
      </w:pPr>
      <w:proofErr w:type="spellStart"/>
      <w:r w:rsidRPr="00151820">
        <w:rPr>
          <w:b/>
          <w:sz w:val="28"/>
          <w:szCs w:val="28"/>
        </w:rPr>
        <w:t>Cabozantinib</w:t>
      </w:r>
      <w:proofErr w:type="spellEnd"/>
      <w:r w:rsidRPr="00151820">
        <w:rPr>
          <w:b/>
          <w:sz w:val="28"/>
          <w:szCs w:val="28"/>
        </w:rPr>
        <w:t xml:space="preserve"> for previously treated advanced renal cell carcinoma</w:t>
      </w:r>
    </w:p>
    <w:p w:rsidR="00151820" w:rsidRDefault="00151820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182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63A90"/>
    <w:rsid w:val="00BB49D8"/>
    <w:rsid w:val="00BC5297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1033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2017-07-19T08:40:00Z</dcterms:created>
  <dcterms:modified xsi:type="dcterms:W3CDTF">2017-07-19T08:40:00Z</dcterms:modified>
</cp:coreProperties>
</file>