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931CE" w:rsidRDefault="00292DD0">
      <w:pPr>
        <w:rPr>
          <w:b/>
          <w:sz w:val="28"/>
          <w:szCs w:val="28"/>
        </w:rPr>
      </w:pPr>
      <w:r w:rsidRPr="00292DD0">
        <w:rPr>
          <w:b/>
          <w:sz w:val="28"/>
          <w:szCs w:val="28"/>
        </w:rPr>
        <w:t>Urinary incontinence and pelvic organ prolapse in women: management</w:t>
      </w:r>
    </w:p>
    <w:p w:rsidR="00292DD0" w:rsidRDefault="00292DD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F2C5E"/>
    <w:rsid w:val="00657B7E"/>
    <w:rsid w:val="00692AC0"/>
    <w:rsid w:val="006D4F1C"/>
    <w:rsid w:val="007078DE"/>
    <w:rsid w:val="00710F11"/>
    <w:rsid w:val="0073042A"/>
    <w:rsid w:val="0074268E"/>
    <w:rsid w:val="00746ED3"/>
    <w:rsid w:val="0077627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2019-04-02T13:32:00Z</dcterms:created>
  <dcterms:modified xsi:type="dcterms:W3CDTF">2019-04-02T13:32:00Z</dcterms:modified>
</cp:coreProperties>
</file>