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9039AE" w:rsidRDefault="00E3747D">
      <w:pPr>
        <w:rPr>
          <w:b/>
          <w:sz w:val="28"/>
          <w:szCs w:val="28"/>
        </w:rPr>
      </w:pPr>
      <w:r w:rsidRPr="00E3747D">
        <w:rPr>
          <w:b/>
          <w:sz w:val="28"/>
          <w:szCs w:val="28"/>
        </w:rPr>
        <w:t>Heavy menstrual bleeding: assessment and management</w:t>
      </w:r>
    </w:p>
    <w:p w:rsidR="00E3747D" w:rsidRDefault="00E3747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692AC0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E3747D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2018-03-14T10:54:00Z</dcterms:created>
  <dcterms:modified xsi:type="dcterms:W3CDTF">2018-03-14T10:54:00Z</dcterms:modified>
</cp:coreProperties>
</file>