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837F5" w:rsidRDefault="00771199">
      <w:pPr>
        <w:rPr>
          <w:b/>
          <w:sz w:val="28"/>
          <w:szCs w:val="28"/>
        </w:rPr>
      </w:pPr>
      <w:proofErr w:type="spellStart"/>
      <w:r w:rsidRPr="00771199">
        <w:rPr>
          <w:b/>
          <w:sz w:val="28"/>
          <w:szCs w:val="28"/>
        </w:rPr>
        <w:t>Eribulin</w:t>
      </w:r>
      <w:proofErr w:type="spellEnd"/>
      <w:r w:rsidRPr="00771199">
        <w:rPr>
          <w:b/>
          <w:sz w:val="28"/>
          <w:szCs w:val="28"/>
        </w:rPr>
        <w:t xml:space="preserve"> for treating locally advanced or metastatic breast cancer after one prior chemotherapy regimen</w:t>
      </w:r>
    </w:p>
    <w:p w:rsidR="00771199" w:rsidRDefault="0077119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79BF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32A85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1199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837F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2018-02-22T11:06:00Z</dcterms:created>
  <dcterms:modified xsi:type="dcterms:W3CDTF">2018-02-22T11:06:00Z</dcterms:modified>
</cp:coreProperties>
</file>