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353E00">
      <w:pPr>
        <w:rPr>
          <w:b/>
          <w:sz w:val="28"/>
          <w:szCs w:val="28"/>
        </w:rPr>
      </w:pPr>
      <w:proofErr w:type="spellStart"/>
      <w:r w:rsidRPr="00353E00">
        <w:rPr>
          <w:b/>
          <w:sz w:val="28"/>
          <w:szCs w:val="28"/>
        </w:rPr>
        <w:t>Pembrolizumab</w:t>
      </w:r>
      <w:proofErr w:type="spellEnd"/>
      <w:r w:rsidRPr="00353E00">
        <w:rPr>
          <w:b/>
          <w:sz w:val="28"/>
          <w:szCs w:val="28"/>
        </w:rPr>
        <w:t xml:space="preserve"> for untreated PD-L1 positive metastatic non-small-cell lung cancer (CDF review of TA447)</w:t>
      </w:r>
    </w:p>
    <w:p w:rsidR="00353E00" w:rsidRDefault="00353E00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1C1871"/>
    <w:rsid w:val="00353E00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DAF70-97BF-49B5-B0A1-5C9D6435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2018-06-06T10:25:00Z</dcterms:created>
  <dcterms:modified xsi:type="dcterms:W3CDTF">2018-06-06T10:25:00Z</dcterms:modified>
</cp:coreProperties>
</file>