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32A76" w:rsidRDefault="002E46F8">
      <w:pPr>
        <w:rPr>
          <w:b/>
          <w:sz w:val="28"/>
          <w:szCs w:val="28"/>
        </w:rPr>
      </w:pPr>
      <w:proofErr w:type="spellStart"/>
      <w:r w:rsidRPr="002E46F8">
        <w:rPr>
          <w:b/>
          <w:sz w:val="28"/>
          <w:szCs w:val="28"/>
        </w:rPr>
        <w:t>Pembrolizumab</w:t>
      </w:r>
      <w:proofErr w:type="spellEnd"/>
      <w:r w:rsidRPr="002E46F8">
        <w:rPr>
          <w:b/>
          <w:sz w:val="28"/>
          <w:szCs w:val="28"/>
        </w:rPr>
        <w:t xml:space="preserve"> for treating PD-L1-positive non-small-cell lung cancer after platinum-based chemotherapy</w:t>
      </w:r>
    </w:p>
    <w:p w:rsidR="002E46F8" w:rsidRDefault="002E46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232A76"/>
    <w:rsid w:val="002E46F8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2016-12-02T09:38:00Z</dcterms:created>
  <dcterms:modified xsi:type="dcterms:W3CDTF">2016-12-02T09:38:00Z</dcterms:modified>
</cp:coreProperties>
</file>