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151820" w:rsidRDefault="00550B81">
      <w:pPr>
        <w:rPr>
          <w:b/>
          <w:sz w:val="28"/>
          <w:szCs w:val="28"/>
        </w:rPr>
      </w:pPr>
      <w:proofErr w:type="spellStart"/>
      <w:r w:rsidRPr="00550B81">
        <w:rPr>
          <w:b/>
          <w:sz w:val="28"/>
          <w:szCs w:val="28"/>
        </w:rPr>
        <w:t>Reslizumab</w:t>
      </w:r>
      <w:proofErr w:type="spellEnd"/>
      <w:r w:rsidRPr="00550B81">
        <w:rPr>
          <w:b/>
          <w:sz w:val="28"/>
          <w:szCs w:val="28"/>
        </w:rPr>
        <w:t xml:space="preserve"> for treating eosinophilic asthma</w:t>
      </w:r>
    </w:p>
    <w:p w:rsidR="00550B81" w:rsidRDefault="00550B81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182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63A90"/>
    <w:rsid w:val="00BB49D8"/>
    <w:rsid w:val="00BC5297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1011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2017-07-20T12:19:00Z</dcterms:created>
  <dcterms:modified xsi:type="dcterms:W3CDTF">2017-07-20T12:19:00Z</dcterms:modified>
</cp:coreProperties>
</file>