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55771" w:rsidRDefault="001A2901">
      <w:pPr>
        <w:rPr>
          <w:b/>
          <w:sz w:val="28"/>
          <w:szCs w:val="28"/>
        </w:rPr>
      </w:pPr>
      <w:proofErr w:type="spellStart"/>
      <w:r w:rsidRPr="001A2901">
        <w:rPr>
          <w:b/>
          <w:sz w:val="28"/>
          <w:szCs w:val="28"/>
        </w:rPr>
        <w:t>Ibrutinib</w:t>
      </w:r>
      <w:proofErr w:type="spellEnd"/>
      <w:r w:rsidRPr="001A2901">
        <w:rPr>
          <w:b/>
          <w:sz w:val="28"/>
          <w:szCs w:val="28"/>
        </w:rPr>
        <w:t xml:space="preserve"> for treating relapsed or refractory mantle cell lymphoma</w:t>
      </w:r>
    </w:p>
    <w:p w:rsidR="001A2901" w:rsidRDefault="001A2901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2017-12-14T12:27:00Z</dcterms:created>
  <dcterms:modified xsi:type="dcterms:W3CDTF">2017-12-14T12:27:00Z</dcterms:modified>
</cp:coreProperties>
</file>