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44AEA" w14:textId="05598BC7" w:rsidR="0092495D" w:rsidRPr="002A5F6D" w:rsidRDefault="0092495D" w:rsidP="0092495D">
      <w:pPr>
        <w:pStyle w:val="ListParagraph"/>
        <w:spacing w:line="360" w:lineRule="auto"/>
        <w:ind w:left="0"/>
        <w:jc w:val="both"/>
        <w:rPr>
          <w:rFonts w:ascii="Arial" w:hAnsi="Arial" w:cs="Arial"/>
          <w:b/>
        </w:rPr>
      </w:pPr>
      <w:r>
        <w:rPr>
          <w:rFonts w:ascii="Arial" w:hAnsi="Arial" w:cs="Arial"/>
          <w:b/>
        </w:rPr>
        <w:tab/>
      </w:r>
      <w:r>
        <w:rPr>
          <w:rFonts w:ascii="Arial" w:hAnsi="Arial" w:cs="Arial"/>
          <w:b/>
        </w:rPr>
        <w:tab/>
      </w:r>
    </w:p>
    <w:p w14:paraId="05BAF217" w14:textId="77777777" w:rsidR="0092495D" w:rsidRPr="0092495D" w:rsidRDefault="0092495D" w:rsidP="0092495D">
      <w:pPr>
        <w:pStyle w:val="ListParagraph"/>
        <w:spacing w:line="240" w:lineRule="auto"/>
        <w:ind w:left="0"/>
        <w:rPr>
          <w:rFonts w:ascii="Arial" w:hAnsi="Arial" w:cs="Arial"/>
          <w:b/>
          <w:sz w:val="24"/>
          <w:szCs w:val="24"/>
        </w:rPr>
      </w:pPr>
      <w:bookmarkStart w:id="0" w:name="_GoBack"/>
      <w:bookmarkEnd w:id="0"/>
      <w:r w:rsidRPr="0092495D">
        <w:rPr>
          <w:rFonts w:ascii="Arial" w:hAnsi="Arial" w:cs="Arial"/>
          <w:b/>
          <w:sz w:val="24"/>
          <w:szCs w:val="24"/>
        </w:rPr>
        <w:t>CONSULTATION ON PROPOSED AMENDMENTS TO THE HUMAN MEDICINES REGULATIONS 2012   IN RELATION TO PATIENT GROUP DIRECTIONS AS A CONSEQUENCE OF THE PLANNED CLOSURE OF THE HEALTH AND SOCIAL CARE BOARD ON 31</w:t>
      </w:r>
      <w:r w:rsidRPr="0092495D">
        <w:rPr>
          <w:rFonts w:ascii="Arial" w:hAnsi="Arial" w:cs="Arial"/>
          <w:b/>
          <w:sz w:val="24"/>
          <w:szCs w:val="24"/>
          <w:vertAlign w:val="superscript"/>
        </w:rPr>
        <w:t>ST</w:t>
      </w:r>
      <w:r w:rsidRPr="0092495D">
        <w:rPr>
          <w:rFonts w:ascii="Arial" w:hAnsi="Arial" w:cs="Arial"/>
          <w:b/>
          <w:sz w:val="24"/>
          <w:szCs w:val="24"/>
        </w:rPr>
        <w:t xml:space="preserve"> MARCH 2022</w:t>
      </w:r>
    </w:p>
    <w:p w14:paraId="6FE6123A" w14:textId="77777777" w:rsidR="0092495D" w:rsidRPr="0092495D" w:rsidRDefault="0092495D" w:rsidP="0092495D">
      <w:pPr>
        <w:pStyle w:val="ListParagraph"/>
        <w:tabs>
          <w:tab w:val="left" w:pos="426"/>
        </w:tabs>
        <w:spacing w:line="360" w:lineRule="auto"/>
        <w:ind w:left="0"/>
        <w:rPr>
          <w:rFonts w:ascii="Arial" w:hAnsi="Arial" w:cs="Arial"/>
          <w:b/>
          <w:bCs/>
          <w:iCs/>
          <w:sz w:val="24"/>
          <w:szCs w:val="24"/>
        </w:rPr>
      </w:pPr>
    </w:p>
    <w:p w14:paraId="68562BE9" w14:textId="77777777" w:rsidR="0092495D" w:rsidRPr="0092495D" w:rsidRDefault="0092495D" w:rsidP="0092495D">
      <w:pPr>
        <w:pStyle w:val="ListParagraph"/>
        <w:tabs>
          <w:tab w:val="left" w:pos="426"/>
        </w:tabs>
        <w:ind w:left="0"/>
        <w:rPr>
          <w:rFonts w:ascii="Arial" w:hAnsi="Arial" w:cs="Arial"/>
          <w:sz w:val="24"/>
          <w:szCs w:val="24"/>
          <w:lang w:val="en-US"/>
        </w:rPr>
      </w:pPr>
      <w:proofErr w:type="gramStart"/>
      <w:r w:rsidRPr="0092495D">
        <w:rPr>
          <w:rFonts w:ascii="Arial" w:hAnsi="Arial" w:cs="Arial"/>
          <w:sz w:val="24"/>
          <w:szCs w:val="24"/>
          <w:lang w:val="en-US"/>
        </w:rPr>
        <w:t xml:space="preserve">In Northern Ireland as part of a major </w:t>
      </w:r>
      <w:proofErr w:type="spellStart"/>
      <w:r w:rsidRPr="0092495D">
        <w:rPr>
          <w:rFonts w:ascii="Arial" w:hAnsi="Arial" w:cs="Arial"/>
          <w:sz w:val="24"/>
          <w:szCs w:val="24"/>
          <w:lang w:val="en-US"/>
        </w:rPr>
        <w:t>programme</w:t>
      </w:r>
      <w:proofErr w:type="spellEnd"/>
      <w:r w:rsidRPr="0092495D">
        <w:rPr>
          <w:rFonts w:ascii="Arial" w:hAnsi="Arial" w:cs="Arial"/>
          <w:sz w:val="24"/>
          <w:szCs w:val="24"/>
          <w:lang w:val="en-US"/>
        </w:rPr>
        <w:t xml:space="preserve"> of work to transform its health and social care system, as set out in </w:t>
      </w:r>
      <w:r w:rsidRPr="0092495D">
        <w:rPr>
          <w:rFonts w:ascii="Arial" w:hAnsi="Arial" w:cs="Arial"/>
          <w:b/>
          <w:i/>
          <w:sz w:val="24"/>
          <w:szCs w:val="24"/>
          <w:lang w:val="en-US"/>
        </w:rPr>
        <w:t>Health and Wellbeing 2026: Delivering Together</w:t>
      </w:r>
      <w:r w:rsidRPr="0092495D">
        <w:rPr>
          <w:rFonts w:ascii="Arial" w:hAnsi="Arial" w:cs="Arial"/>
          <w:sz w:val="24"/>
          <w:szCs w:val="24"/>
          <w:lang w:val="en-US"/>
        </w:rPr>
        <w:t xml:space="preserve">, the Health and Social Care Board (HSCB) is to close and its functions will migrate to a </w:t>
      </w:r>
      <w:r w:rsidRPr="0092495D">
        <w:rPr>
          <w:rFonts w:ascii="Arial" w:hAnsi="Arial" w:cs="Arial"/>
          <w:sz w:val="24"/>
          <w:szCs w:val="24"/>
        </w:rPr>
        <w:t>newly formed Strategic Planning and Performance Group (SPPG)</w:t>
      </w:r>
      <w:r w:rsidRPr="0092495D">
        <w:rPr>
          <w:rFonts w:ascii="Arial" w:hAnsi="Arial" w:cs="Arial"/>
          <w:sz w:val="24"/>
          <w:szCs w:val="24"/>
          <w:lang w:val="en-US"/>
        </w:rPr>
        <w:t xml:space="preserve"> within the Department of Health and its staff to the Regional Business Service Organisation.</w:t>
      </w:r>
      <w:proofErr w:type="gramEnd"/>
      <w:r w:rsidRPr="0092495D">
        <w:rPr>
          <w:rFonts w:ascii="Arial" w:hAnsi="Arial" w:cs="Arial"/>
          <w:sz w:val="24"/>
          <w:szCs w:val="24"/>
          <w:lang w:val="en-US"/>
        </w:rPr>
        <w:t xml:space="preserve">  It is planned, subject to the necessary legislation being in place, that this will be completed by </w:t>
      </w:r>
      <w:proofErr w:type="gramStart"/>
      <w:r w:rsidRPr="0092495D">
        <w:rPr>
          <w:rFonts w:ascii="Arial" w:hAnsi="Arial" w:cs="Arial"/>
          <w:sz w:val="24"/>
          <w:szCs w:val="24"/>
          <w:lang w:val="en-US"/>
        </w:rPr>
        <w:t>31</w:t>
      </w:r>
      <w:r w:rsidRPr="0092495D">
        <w:rPr>
          <w:rFonts w:ascii="Arial" w:hAnsi="Arial" w:cs="Arial"/>
          <w:sz w:val="24"/>
          <w:szCs w:val="24"/>
          <w:vertAlign w:val="superscript"/>
          <w:lang w:val="en-US"/>
        </w:rPr>
        <w:t>st</w:t>
      </w:r>
      <w:proofErr w:type="gramEnd"/>
      <w:r w:rsidRPr="0092495D">
        <w:rPr>
          <w:rFonts w:ascii="Arial" w:hAnsi="Arial" w:cs="Arial"/>
          <w:sz w:val="24"/>
          <w:szCs w:val="24"/>
          <w:lang w:val="en-US"/>
        </w:rPr>
        <w:t xml:space="preserve"> March 2022.  </w:t>
      </w:r>
    </w:p>
    <w:p w14:paraId="4CDF78C3" w14:textId="77777777" w:rsidR="0092495D" w:rsidRPr="0092495D" w:rsidRDefault="0092495D" w:rsidP="0092495D">
      <w:pPr>
        <w:pStyle w:val="ListParagraph"/>
        <w:tabs>
          <w:tab w:val="left" w:pos="426"/>
        </w:tabs>
        <w:ind w:left="0"/>
        <w:rPr>
          <w:rFonts w:ascii="Arial" w:hAnsi="Arial" w:cs="Arial"/>
          <w:sz w:val="24"/>
          <w:szCs w:val="24"/>
        </w:rPr>
      </w:pPr>
    </w:p>
    <w:p w14:paraId="3428B8FE" w14:textId="77777777" w:rsidR="0092495D" w:rsidRPr="0092495D" w:rsidRDefault="0092495D" w:rsidP="0092495D">
      <w:pPr>
        <w:pStyle w:val="ListParagraph"/>
        <w:tabs>
          <w:tab w:val="left" w:pos="426"/>
        </w:tabs>
        <w:ind w:left="0"/>
        <w:rPr>
          <w:rFonts w:ascii="Arial" w:hAnsi="Arial" w:cs="Arial"/>
          <w:sz w:val="24"/>
          <w:szCs w:val="24"/>
          <w:lang w:val="en-US"/>
        </w:rPr>
      </w:pPr>
      <w:r w:rsidRPr="0092495D">
        <w:rPr>
          <w:rFonts w:ascii="Arial" w:hAnsi="Arial" w:cs="Arial"/>
          <w:sz w:val="24"/>
          <w:szCs w:val="24"/>
        </w:rPr>
        <w:t xml:space="preserve">In light of the organisational changes taking place </w:t>
      </w:r>
      <w:proofErr w:type="gramStart"/>
      <w:r w:rsidRPr="0092495D">
        <w:rPr>
          <w:rFonts w:ascii="Arial" w:hAnsi="Arial" w:cs="Arial"/>
          <w:sz w:val="24"/>
          <w:szCs w:val="24"/>
        </w:rPr>
        <w:t>as a result</w:t>
      </w:r>
      <w:proofErr w:type="gramEnd"/>
      <w:r w:rsidRPr="0092495D">
        <w:rPr>
          <w:rFonts w:ascii="Arial" w:hAnsi="Arial" w:cs="Arial"/>
          <w:sz w:val="24"/>
          <w:szCs w:val="24"/>
        </w:rPr>
        <w:t xml:space="preserve"> of the HSCB closure, amendments are required within the Human Medicines Regulations 2012</w:t>
      </w:r>
      <w:r w:rsidRPr="0092495D">
        <w:rPr>
          <w:rFonts w:ascii="Arial" w:hAnsi="Arial" w:cs="Arial"/>
          <w:sz w:val="24"/>
          <w:szCs w:val="24"/>
          <w:vertAlign w:val="superscript"/>
        </w:rPr>
        <w:footnoteReference w:id="1"/>
      </w:r>
      <w:r w:rsidRPr="0092495D">
        <w:rPr>
          <w:rFonts w:ascii="Arial" w:hAnsi="Arial" w:cs="Arial"/>
          <w:sz w:val="24"/>
          <w:szCs w:val="24"/>
        </w:rPr>
        <w:t xml:space="preserve"> (HMRs) that relate to the supply of medicines in accordance with Patient Group Directions (PGDs).  </w:t>
      </w:r>
      <w:r w:rsidRPr="0092495D">
        <w:rPr>
          <w:rFonts w:ascii="Arial" w:hAnsi="Arial" w:cs="Arial"/>
          <w:sz w:val="24"/>
          <w:szCs w:val="24"/>
          <w:lang w:val="en-US"/>
        </w:rPr>
        <w:t xml:space="preserve">The specific statutory functions in relation to PGDs will become the responsibility of the Department of Health from </w:t>
      </w:r>
      <w:proofErr w:type="gramStart"/>
      <w:r w:rsidRPr="0092495D">
        <w:rPr>
          <w:rFonts w:ascii="Arial" w:hAnsi="Arial" w:cs="Arial"/>
          <w:sz w:val="24"/>
          <w:szCs w:val="24"/>
          <w:lang w:val="en-US"/>
        </w:rPr>
        <w:t>1</w:t>
      </w:r>
      <w:r w:rsidRPr="0092495D">
        <w:rPr>
          <w:rFonts w:ascii="Arial" w:hAnsi="Arial" w:cs="Arial"/>
          <w:sz w:val="24"/>
          <w:szCs w:val="24"/>
          <w:vertAlign w:val="superscript"/>
          <w:lang w:val="en-US"/>
        </w:rPr>
        <w:t>st</w:t>
      </w:r>
      <w:proofErr w:type="gramEnd"/>
      <w:r w:rsidRPr="0092495D">
        <w:rPr>
          <w:rFonts w:ascii="Arial" w:hAnsi="Arial" w:cs="Arial"/>
          <w:sz w:val="24"/>
          <w:szCs w:val="24"/>
          <w:lang w:val="en-US"/>
        </w:rPr>
        <w:t xml:space="preserve"> April 2022.  </w:t>
      </w:r>
    </w:p>
    <w:p w14:paraId="194DAE2F" w14:textId="77777777" w:rsidR="0092495D" w:rsidRPr="0092495D" w:rsidRDefault="0092495D" w:rsidP="0092495D">
      <w:pPr>
        <w:pStyle w:val="ListParagraph"/>
        <w:tabs>
          <w:tab w:val="left" w:pos="426"/>
        </w:tabs>
        <w:ind w:left="0"/>
        <w:rPr>
          <w:rFonts w:ascii="Arial" w:hAnsi="Arial" w:cs="Arial"/>
          <w:sz w:val="24"/>
          <w:szCs w:val="24"/>
          <w:lang w:val="en-US"/>
        </w:rPr>
      </w:pPr>
    </w:p>
    <w:p w14:paraId="5420069B" w14:textId="77777777" w:rsidR="0092495D" w:rsidRPr="0092495D" w:rsidRDefault="0092495D" w:rsidP="0092495D">
      <w:pPr>
        <w:pStyle w:val="ListParagraph"/>
        <w:tabs>
          <w:tab w:val="left" w:pos="426"/>
        </w:tabs>
        <w:ind w:left="0"/>
        <w:rPr>
          <w:rFonts w:ascii="Arial" w:hAnsi="Arial" w:cs="Arial"/>
          <w:sz w:val="24"/>
          <w:szCs w:val="24"/>
        </w:rPr>
      </w:pPr>
      <w:r w:rsidRPr="0092495D">
        <w:rPr>
          <w:rFonts w:ascii="Arial" w:hAnsi="Arial" w:cs="Arial"/>
          <w:sz w:val="24"/>
          <w:szCs w:val="24"/>
        </w:rPr>
        <w:t xml:space="preserve">For a PGD to be lawful, it must be developed and approved by a doctor (or dentist) and a pharmacist. It </w:t>
      </w:r>
      <w:proofErr w:type="gramStart"/>
      <w:r w:rsidRPr="0092495D">
        <w:rPr>
          <w:rFonts w:ascii="Arial" w:hAnsi="Arial" w:cs="Arial"/>
          <w:sz w:val="24"/>
          <w:szCs w:val="24"/>
        </w:rPr>
        <w:t xml:space="preserve">must also be </w:t>
      </w:r>
      <w:r w:rsidRPr="0092495D">
        <w:rPr>
          <w:rFonts w:ascii="Arial" w:hAnsi="Arial" w:cs="Arial"/>
          <w:sz w:val="24"/>
          <w:szCs w:val="24"/>
          <w:u w:val="single"/>
        </w:rPr>
        <w:t>approved</w:t>
      </w:r>
      <w:proofErr w:type="gramEnd"/>
      <w:r w:rsidRPr="0092495D">
        <w:rPr>
          <w:rFonts w:ascii="Arial" w:hAnsi="Arial" w:cs="Arial"/>
          <w:sz w:val="24"/>
          <w:szCs w:val="24"/>
          <w:u w:val="single"/>
        </w:rPr>
        <w:t xml:space="preserve"> by the agency</w:t>
      </w:r>
      <w:r w:rsidRPr="0092495D">
        <w:rPr>
          <w:rFonts w:ascii="Arial" w:hAnsi="Arial" w:cs="Arial"/>
          <w:sz w:val="24"/>
          <w:szCs w:val="24"/>
        </w:rPr>
        <w:t xml:space="preserve"> that has commissioned the service. This agency </w:t>
      </w:r>
      <w:proofErr w:type="gramStart"/>
      <w:r w:rsidRPr="0092495D">
        <w:rPr>
          <w:rFonts w:ascii="Arial" w:hAnsi="Arial" w:cs="Arial"/>
          <w:sz w:val="24"/>
          <w:szCs w:val="24"/>
        </w:rPr>
        <w:t>must be specifically designated</w:t>
      </w:r>
      <w:proofErr w:type="gramEnd"/>
      <w:r w:rsidRPr="0092495D">
        <w:rPr>
          <w:rFonts w:ascii="Arial" w:hAnsi="Arial" w:cs="Arial"/>
          <w:sz w:val="24"/>
          <w:szCs w:val="24"/>
        </w:rPr>
        <w:t xml:space="preserve"> within the HMRs.</w:t>
      </w:r>
    </w:p>
    <w:p w14:paraId="6BAA57BA" w14:textId="77777777" w:rsidR="0092495D" w:rsidRPr="0092495D" w:rsidRDefault="0092495D" w:rsidP="0092495D">
      <w:pPr>
        <w:pStyle w:val="ListParagraph"/>
        <w:tabs>
          <w:tab w:val="left" w:pos="426"/>
        </w:tabs>
        <w:ind w:left="0"/>
        <w:rPr>
          <w:rFonts w:ascii="Arial" w:hAnsi="Arial" w:cs="Arial"/>
          <w:sz w:val="24"/>
          <w:szCs w:val="24"/>
        </w:rPr>
      </w:pPr>
      <w:r w:rsidRPr="0092495D">
        <w:rPr>
          <w:rFonts w:ascii="Arial" w:hAnsi="Arial" w:cs="Arial"/>
          <w:sz w:val="24"/>
          <w:szCs w:val="24"/>
        </w:rPr>
        <w:t xml:space="preserve"> </w:t>
      </w:r>
    </w:p>
    <w:p w14:paraId="00F4583C" w14:textId="77777777" w:rsidR="0092495D" w:rsidRPr="0092495D" w:rsidRDefault="0092495D" w:rsidP="0092495D">
      <w:pPr>
        <w:pStyle w:val="ListParagraph"/>
        <w:tabs>
          <w:tab w:val="left" w:pos="426"/>
        </w:tabs>
        <w:ind w:left="0"/>
        <w:rPr>
          <w:rFonts w:ascii="Arial" w:hAnsi="Arial" w:cs="Arial"/>
          <w:sz w:val="24"/>
          <w:szCs w:val="24"/>
        </w:rPr>
      </w:pPr>
      <w:r w:rsidRPr="0092495D">
        <w:rPr>
          <w:rFonts w:ascii="Arial" w:hAnsi="Arial" w:cs="Arial"/>
          <w:sz w:val="24"/>
          <w:szCs w:val="24"/>
        </w:rPr>
        <w:t xml:space="preserve">Within the HMRs, the definition of “Health Authority” in respect of Northern Ireland in Regulation 213 </w:t>
      </w:r>
      <w:proofErr w:type="gramStart"/>
      <w:r w:rsidRPr="0092495D">
        <w:rPr>
          <w:rFonts w:ascii="Arial" w:hAnsi="Arial" w:cs="Arial"/>
          <w:sz w:val="24"/>
          <w:szCs w:val="24"/>
        </w:rPr>
        <w:t>is defined</w:t>
      </w:r>
      <w:proofErr w:type="gramEnd"/>
      <w:r w:rsidRPr="0092495D">
        <w:rPr>
          <w:rFonts w:ascii="Arial" w:hAnsi="Arial" w:cs="Arial"/>
          <w:sz w:val="24"/>
          <w:szCs w:val="24"/>
        </w:rPr>
        <w:t xml:space="preserve"> as the Regional Health and Social Care Board (HSCB).  The Department </w:t>
      </w:r>
      <w:proofErr w:type="gramStart"/>
      <w:r w:rsidRPr="0092495D">
        <w:rPr>
          <w:rFonts w:ascii="Arial" w:hAnsi="Arial" w:cs="Arial"/>
          <w:sz w:val="24"/>
          <w:szCs w:val="24"/>
        </w:rPr>
        <w:t>is currently not listed</w:t>
      </w:r>
      <w:proofErr w:type="gramEnd"/>
      <w:r w:rsidRPr="0092495D">
        <w:rPr>
          <w:rFonts w:ascii="Arial" w:hAnsi="Arial" w:cs="Arial"/>
          <w:sz w:val="24"/>
          <w:szCs w:val="24"/>
        </w:rPr>
        <w:t xml:space="preserve"> as a ‘Health Authority’ in the Regulations. Therefore, as </w:t>
      </w:r>
      <w:r w:rsidRPr="0092495D">
        <w:rPr>
          <w:rFonts w:ascii="Arial" w:hAnsi="Arial" w:cs="Arial"/>
          <w:sz w:val="24"/>
          <w:szCs w:val="24"/>
          <w:lang w:val="en-US"/>
        </w:rPr>
        <w:t>the specific statutory functions in relation to PGDs will become the responsibility of the Department from 1</w:t>
      </w:r>
      <w:r w:rsidRPr="0092495D">
        <w:rPr>
          <w:rFonts w:ascii="Arial" w:hAnsi="Arial" w:cs="Arial"/>
          <w:sz w:val="24"/>
          <w:szCs w:val="24"/>
          <w:vertAlign w:val="superscript"/>
          <w:lang w:val="en-US"/>
        </w:rPr>
        <w:t>st</w:t>
      </w:r>
      <w:r w:rsidRPr="0092495D">
        <w:rPr>
          <w:rFonts w:ascii="Arial" w:hAnsi="Arial" w:cs="Arial"/>
          <w:sz w:val="24"/>
          <w:szCs w:val="24"/>
          <w:lang w:val="en-US"/>
        </w:rPr>
        <w:t xml:space="preserve"> April 2022, the Department needs</w:t>
      </w:r>
      <w:r w:rsidRPr="0092495D">
        <w:rPr>
          <w:rFonts w:ascii="Arial" w:hAnsi="Arial" w:cs="Arial"/>
          <w:sz w:val="24"/>
          <w:szCs w:val="24"/>
        </w:rPr>
        <w:t xml:space="preserve"> to </w:t>
      </w:r>
      <w:proofErr w:type="gramStart"/>
      <w:r w:rsidRPr="0092495D">
        <w:rPr>
          <w:rFonts w:ascii="Arial" w:hAnsi="Arial" w:cs="Arial"/>
          <w:sz w:val="24"/>
          <w:szCs w:val="24"/>
        </w:rPr>
        <w:t>be designated</w:t>
      </w:r>
      <w:proofErr w:type="gramEnd"/>
      <w:r w:rsidRPr="0092495D">
        <w:rPr>
          <w:rFonts w:ascii="Arial" w:hAnsi="Arial" w:cs="Arial"/>
          <w:sz w:val="24"/>
          <w:szCs w:val="24"/>
        </w:rPr>
        <w:t xml:space="preserve"> as a ‘Health Authority’ and an amendment to the Human Medicines Regulations is therefore being proposed. </w:t>
      </w:r>
    </w:p>
    <w:p w14:paraId="38E9AB5F" w14:textId="77777777" w:rsidR="0092495D" w:rsidRPr="0092495D" w:rsidRDefault="0092495D" w:rsidP="0092495D">
      <w:pPr>
        <w:pStyle w:val="ListParagraph"/>
        <w:tabs>
          <w:tab w:val="left" w:pos="426"/>
        </w:tabs>
        <w:spacing w:line="360" w:lineRule="auto"/>
        <w:ind w:left="0"/>
        <w:rPr>
          <w:rFonts w:ascii="Arial" w:hAnsi="Arial" w:cs="Arial"/>
          <w:sz w:val="24"/>
          <w:szCs w:val="24"/>
          <w:lang w:val="en-US"/>
        </w:rPr>
      </w:pPr>
    </w:p>
    <w:p w14:paraId="7760307A" w14:textId="77777777" w:rsidR="0092495D" w:rsidRPr="0092495D" w:rsidRDefault="0092495D" w:rsidP="0092495D">
      <w:pPr>
        <w:pStyle w:val="ListParagraph"/>
        <w:tabs>
          <w:tab w:val="left" w:pos="426"/>
        </w:tabs>
        <w:ind w:left="0"/>
        <w:rPr>
          <w:rFonts w:ascii="Arial" w:hAnsi="Arial" w:cs="Arial"/>
          <w:b/>
          <w:sz w:val="24"/>
          <w:szCs w:val="24"/>
          <w:u w:val="single"/>
          <w:lang w:val="en-US"/>
        </w:rPr>
      </w:pPr>
      <w:r w:rsidRPr="0092495D">
        <w:rPr>
          <w:rFonts w:ascii="Arial" w:hAnsi="Arial" w:cs="Arial"/>
          <w:b/>
          <w:sz w:val="24"/>
          <w:szCs w:val="24"/>
          <w:u w:val="single"/>
          <w:lang w:val="en-US"/>
        </w:rPr>
        <w:t>Patient Ground Directions (PGDs) and the HSCB</w:t>
      </w:r>
    </w:p>
    <w:p w14:paraId="4030C33D" w14:textId="77777777" w:rsidR="0092495D" w:rsidRPr="0092495D" w:rsidRDefault="0092495D" w:rsidP="0092495D">
      <w:pPr>
        <w:pStyle w:val="ListParagraph"/>
        <w:tabs>
          <w:tab w:val="left" w:pos="426"/>
        </w:tabs>
        <w:ind w:left="0"/>
        <w:rPr>
          <w:rFonts w:ascii="Arial" w:hAnsi="Arial" w:cs="Arial"/>
          <w:sz w:val="24"/>
          <w:szCs w:val="24"/>
          <w:lang w:val="en-US"/>
        </w:rPr>
      </w:pPr>
    </w:p>
    <w:p w14:paraId="29BECC02" w14:textId="77777777" w:rsidR="0092495D" w:rsidRPr="0092495D" w:rsidRDefault="0092495D" w:rsidP="0092495D">
      <w:pPr>
        <w:pStyle w:val="ListParagraph"/>
        <w:tabs>
          <w:tab w:val="left" w:pos="426"/>
        </w:tabs>
        <w:ind w:left="0"/>
        <w:rPr>
          <w:rFonts w:ascii="Arial" w:hAnsi="Arial" w:cs="Arial"/>
          <w:sz w:val="24"/>
          <w:szCs w:val="24"/>
          <w:lang w:val="en-US"/>
        </w:rPr>
      </w:pPr>
      <w:r w:rsidRPr="0092495D">
        <w:rPr>
          <w:rFonts w:ascii="Arial" w:hAnsi="Arial" w:cs="Arial"/>
          <w:sz w:val="24"/>
          <w:szCs w:val="24"/>
          <w:lang w:val="en-US"/>
        </w:rPr>
        <w:t xml:space="preserve">A PGD is a written instruction for the sale, supply and/or administration of medicines to groups of patients who </w:t>
      </w:r>
      <w:proofErr w:type="gramStart"/>
      <w:r w:rsidRPr="0092495D">
        <w:rPr>
          <w:rFonts w:ascii="Arial" w:hAnsi="Arial" w:cs="Arial"/>
          <w:sz w:val="24"/>
          <w:szCs w:val="24"/>
          <w:lang w:val="en-US"/>
        </w:rPr>
        <w:t>may not be individually identified</w:t>
      </w:r>
      <w:proofErr w:type="gramEnd"/>
      <w:r w:rsidRPr="0092495D">
        <w:rPr>
          <w:rFonts w:ascii="Arial" w:hAnsi="Arial" w:cs="Arial"/>
          <w:sz w:val="24"/>
          <w:szCs w:val="24"/>
          <w:lang w:val="en-US"/>
        </w:rPr>
        <w:t xml:space="preserve"> before presentation for treatment. </w:t>
      </w:r>
    </w:p>
    <w:p w14:paraId="17A54232" w14:textId="77777777" w:rsidR="0092495D" w:rsidRPr="0092495D" w:rsidRDefault="0092495D" w:rsidP="0092495D">
      <w:pPr>
        <w:pStyle w:val="ListParagraph"/>
        <w:tabs>
          <w:tab w:val="left" w:pos="426"/>
        </w:tabs>
        <w:ind w:left="0"/>
        <w:rPr>
          <w:rFonts w:ascii="Arial" w:hAnsi="Arial" w:cs="Arial"/>
          <w:sz w:val="24"/>
          <w:szCs w:val="24"/>
          <w:lang w:val="en-US"/>
        </w:rPr>
      </w:pPr>
    </w:p>
    <w:p w14:paraId="39E926FF" w14:textId="77777777" w:rsidR="0092495D" w:rsidRPr="0092495D" w:rsidRDefault="0092495D" w:rsidP="0092495D">
      <w:pPr>
        <w:pStyle w:val="ListParagraph"/>
        <w:tabs>
          <w:tab w:val="left" w:pos="426"/>
        </w:tabs>
        <w:ind w:left="0"/>
        <w:rPr>
          <w:rFonts w:ascii="Arial" w:hAnsi="Arial" w:cs="Arial"/>
          <w:sz w:val="24"/>
          <w:szCs w:val="24"/>
          <w:lang w:val="en-US"/>
        </w:rPr>
      </w:pPr>
      <w:r w:rsidRPr="0092495D">
        <w:rPr>
          <w:rFonts w:ascii="Arial" w:hAnsi="Arial" w:cs="Arial"/>
          <w:sz w:val="24"/>
          <w:szCs w:val="24"/>
          <w:lang w:val="en-US"/>
        </w:rPr>
        <w:t xml:space="preserve">The supply and/or administration of medicines under a PGD cannot be delegated – the </w:t>
      </w:r>
      <w:proofErr w:type="gramStart"/>
      <w:r w:rsidRPr="0092495D">
        <w:rPr>
          <w:rFonts w:ascii="Arial" w:hAnsi="Arial" w:cs="Arial"/>
          <w:sz w:val="24"/>
          <w:szCs w:val="24"/>
          <w:lang w:val="en-US"/>
        </w:rPr>
        <w:t>whole episode of care must be undertaken by the health care practitioner operating under the PGD</w:t>
      </w:r>
      <w:proofErr w:type="gramEnd"/>
      <w:r w:rsidRPr="0092495D">
        <w:rPr>
          <w:rFonts w:ascii="Arial" w:hAnsi="Arial" w:cs="Arial"/>
          <w:sz w:val="24"/>
          <w:szCs w:val="24"/>
          <w:lang w:val="en-US"/>
        </w:rPr>
        <w:t>.</w:t>
      </w:r>
    </w:p>
    <w:p w14:paraId="4089CC45" w14:textId="77777777" w:rsidR="0092495D" w:rsidRPr="0092495D" w:rsidRDefault="0092495D" w:rsidP="0092495D">
      <w:pPr>
        <w:pStyle w:val="ListParagraph"/>
        <w:tabs>
          <w:tab w:val="left" w:pos="426"/>
        </w:tabs>
        <w:ind w:left="0"/>
        <w:rPr>
          <w:rFonts w:ascii="Arial" w:hAnsi="Arial" w:cs="Arial"/>
          <w:sz w:val="24"/>
          <w:szCs w:val="24"/>
          <w:lang w:val="en-US"/>
        </w:rPr>
      </w:pPr>
    </w:p>
    <w:p w14:paraId="016E3F6C" w14:textId="77777777" w:rsidR="0092495D" w:rsidRPr="0092495D" w:rsidRDefault="0092495D" w:rsidP="0092495D">
      <w:pPr>
        <w:pStyle w:val="ListParagraph"/>
        <w:tabs>
          <w:tab w:val="left" w:pos="426"/>
        </w:tabs>
        <w:ind w:left="0"/>
        <w:rPr>
          <w:rFonts w:ascii="Arial" w:hAnsi="Arial" w:cs="Arial"/>
          <w:sz w:val="24"/>
          <w:szCs w:val="24"/>
        </w:rPr>
      </w:pPr>
      <w:r w:rsidRPr="0092495D">
        <w:rPr>
          <w:rFonts w:ascii="Arial" w:hAnsi="Arial" w:cs="Arial"/>
          <w:sz w:val="24"/>
          <w:szCs w:val="24"/>
        </w:rPr>
        <w:t xml:space="preserve">HSCB commissions a range of activity, which </w:t>
      </w:r>
      <w:proofErr w:type="gramStart"/>
      <w:r w:rsidRPr="0092495D">
        <w:rPr>
          <w:rFonts w:ascii="Arial" w:hAnsi="Arial" w:cs="Arial"/>
          <w:sz w:val="24"/>
          <w:szCs w:val="24"/>
        </w:rPr>
        <w:t>is facilitated</w:t>
      </w:r>
      <w:proofErr w:type="gramEnd"/>
      <w:r w:rsidRPr="0092495D">
        <w:rPr>
          <w:rFonts w:ascii="Arial" w:hAnsi="Arial" w:cs="Arial"/>
          <w:sz w:val="24"/>
          <w:szCs w:val="24"/>
        </w:rPr>
        <w:t xml:space="preserve"> by the establishment of PGDs:</w:t>
      </w:r>
    </w:p>
    <w:p w14:paraId="7D83C93A" w14:textId="77777777" w:rsidR="0092495D" w:rsidRPr="0092495D" w:rsidRDefault="0092495D" w:rsidP="0092495D">
      <w:pPr>
        <w:pStyle w:val="ListParagraph"/>
        <w:tabs>
          <w:tab w:val="left" w:pos="426"/>
        </w:tabs>
        <w:ind w:left="0"/>
        <w:rPr>
          <w:rFonts w:ascii="Arial" w:hAnsi="Arial" w:cs="Arial"/>
          <w:sz w:val="24"/>
          <w:szCs w:val="24"/>
        </w:rPr>
      </w:pPr>
    </w:p>
    <w:p w14:paraId="43CBC2B6" w14:textId="77777777" w:rsidR="0092495D" w:rsidRPr="0092495D" w:rsidRDefault="0092495D" w:rsidP="0092495D">
      <w:pPr>
        <w:pStyle w:val="ListParagraph"/>
        <w:numPr>
          <w:ilvl w:val="0"/>
          <w:numId w:val="30"/>
        </w:numPr>
        <w:tabs>
          <w:tab w:val="left" w:pos="426"/>
        </w:tabs>
        <w:spacing w:after="0" w:line="276" w:lineRule="auto"/>
        <w:ind w:left="294"/>
        <w:contextualSpacing w:val="0"/>
        <w:rPr>
          <w:rFonts w:ascii="Arial" w:hAnsi="Arial" w:cs="Arial"/>
          <w:sz w:val="24"/>
          <w:szCs w:val="24"/>
        </w:rPr>
      </w:pPr>
      <w:r w:rsidRPr="0092495D">
        <w:rPr>
          <w:rFonts w:ascii="Arial" w:hAnsi="Arial" w:cs="Arial"/>
          <w:sz w:val="24"/>
          <w:szCs w:val="24"/>
        </w:rPr>
        <w:t>The delivery of vaccination services in primary care</w:t>
      </w:r>
    </w:p>
    <w:p w14:paraId="7AF9A33E" w14:textId="77777777" w:rsidR="0092495D" w:rsidRPr="0092495D" w:rsidRDefault="0092495D" w:rsidP="0092495D">
      <w:pPr>
        <w:pStyle w:val="ListParagraph"/>
        <w:numPr>
          <w:ilvl w:val="0"/>
          <w:numId w:val="30"/>
        </w:numPr>
        <w:tabs>
          <w:tab w:val="left" w:pos="426"/>
        </w:tabs>
        <w:spacing w:after="0" w:line="276" w:lineRule="auto"/>
        <w:ind w:left="294"/>
        <w:contextualSpacing w:val="0"/>
        <w:rPr>
          <w:rFonts w:ascii="Arial" w:hAnsi="Arial" w:cs="Arial"/>
          <w:sz w:val="24"/>
          <w:szCs w:val="24"/>
        </w:rPr>
      </w:pPr>
      <w:r w:rsidRPr="0092495D">
        <w:rPr>
          <w:rFonts w:ascii="Arial" w:hAnsi="Arial" w:cs="Arial"/>
          <w:sz w:val="24"/>
          <w:szCs w:val="24"/>
        </w:rPr>
        <w:t>The provision of medicines by paramedics in GPOOH services</w:t>
      </w:r>
    </w:p>
    <w:p w14:paraId="55F88DA3" w14:textId="77777777" w:rsidR="0092495D" w:rsidRPr="0092495D" w:rsidRDefault="0092495D" w:rsidP="0092495D">
      <w:pPr>
        <w:pStyle w:val="ListParagraph"/>
        <w:numPr>
          <w:ilvl w:val="0"/>
          <w:numId w:val="30"/>
        </w:numPr>
        <w:tabs>
          <w:tab w:val="left" w:pos="426"/>
        </w:tabs>
        <w:spacing w:after="0" w:line="276" w:lineRule="auto"/>
        <w:ind w:left="294"/>
        <w:contextualSpacing w:val="0"/>
        <w:rPr>
          <w:rFonts w:ascii="Arial" w:hAnsi="Arial" w:cs="Arial"/>
          <w:sz w:val="24"/>
          <w:szCs w:val="24"/>
        </w:rPr>
      </w:pPr>
      <w:r w:rsidRPr="0092495D">
        <w:rPr>
          <w:rFonts w:ascii="Arial" w:hAnsi="Arial" w:cs="Arial"/>
          <w:sz w:val="24"/>
          <w:szCs w:val="24"/>
        </w:rPr>
        <w:t xml:space="preserve">The provision of prescription only medicines through various extended services in community pharmacy </w:t>
      </w:r>
    </w:p>
    <w:p w14:paraId="3B5E99D4" w14:textId="77777777" w:rsidR="0092495D" w:rsidRPr="0092495D" w:rsidRDefault="0092495D" w:rsidP="0092495D">
      <w:pPr>
        <w:pStyle w:val="ListParagraph"/>
        <w:tabs>
          <w:tab w:val="left" w:pos="426"/>
        </w:tabs>
        <w:ind w:left="0"/>
        <w:rPr>
          <w:rFonts w:ascii="Arial" w:hAnsi="Arial" w:cs="Arial"/>
          <w:sz w:val="24"/>
          <w:szCs w:val="24"/>
        </w:rPr>
      </w:pPr>
    </w:p>
    <w:p w14:paraId="37403E45" w14:textId="77777777" w:rsidR="0092495D" w:rsidRPr="0092495D" w:rsidRDefault="0092495D" w:rsidP="0092495D">
      <w:pPr>
        <w:pStyle w:val="ListParagraph"/>
        <w:tabs>
          <w:tab w:val="left" w:pos="426"/>
        </w:tabs>
        <w:ind w:left="0"/>
        <w:rPr>
          <w:rFonts w:ascii="Arial" w:hAnsi="Arial" w:cs="Arial"/>
          <w:sz w:val="24"/>
          <w:szCs w:val="24"/>
        </w:rPr>
      </w:pPr>
      <w:r w:rsidRPr="0092495D">
        <w:rPr>
          <w:rFonts w:ascii="Arial" w:hAnsi="Arial" w:cs="Arial"/>
          <w:sz w:val="24"/>
          <w:szCs w:val="24"/>
        </w:rPr>
        <w:t xml:space="preserve">In order for these services to function successfully, a PGD </w:t>
      </w:r>
      <w:proofErr w:type="gramStart"/>
      <w:r w:rsidRPr="0092495D">
        <w:rPr>
          <w:rFonts w:ascii="Arial" w:hAnsi="Arial" w:cs="Arial"/>
          <w:sz w:val="24"/>
          <w:szCs w:val="24"/>
        </w:rPr>
        <w:t>must be signed off</w:t>
      </w:r>
      <w:proofErr w:type="gramEnd"/>
      <w:r w:rsidRPr="0092495D">
        <w:rPr>
          <w:rFonts w:ascii="Arial" w:hAnsi="Arial" w:cs="Arial"/>
          <w:sz w:val="24"/>
          <w:szCs w:val="24"/>
        </w:rPr>
        <w:t xml:space="preserve"> appropriately. The HMRs provide a body with the legislative powers to sign off a PGD. </w:t>
      </w:r>
      <w:r w:rsidRPr="0092495D">
        <w:rPr>
          <w:rFonts w:ascii="Arial" w:hAnsi="Arial" w:cs="Arial"/>
          <w:i/>
          <w:sz w:val="24"/>
          <w:szCs w:val="24"/>
        </w:rPr>
        <w:t xml:space="preserve">Part 12, Chapter 1, Regulation 213 </w:t>
      </w:r>
      <w:r w:rsidRPr="0092495D">
        <w:rPr>
          <w:rFonts w:ascii="Arial" w:hAnsi="Arial" w:cs="Arial"/>
          <w:sz w:val="24"/>
          <w:szCs w:val="24"/>
        </w:rPr>
        <w:t xml:space="preserve">states that in Northern Ireland the ‘Health Authority’ </w:t>
      </w:r>
      <w:proofErr w:type="gramStart"/>
      <w:r w:rsidRPr="0092495D">
        <w:rPr>
          <w:rFonts w:ascii="Arial" w:hAnsi="Arial" w:cs="Arial"/>
          <w:sz w:val="24"/>
          <w:szCs w:val="24"/>
        </w:rPr>
        <w:t>is defined</w:t>
      </w:r>
      <w:proofErr w:type="gramEnd"/>
      <w:r w:rsidRPr="0092495D">
        <w:rPr>
          <w:rFonts w:ascii="Arial" w:hAnsi="Arial" w:cs="Arial"/>
          <w:sz w:val="24"/>
          <w:szCs w:val="24"/>
        </w:rPr>
        <w:t xml:space="preserve"> as the HSCB. The HSCB is currently the commissioning body, which is responsible for General Practitioner (GP) services and Community Pharmacy (CP) services.  These commissioning functions are to move to the Department of Health on 1</w:t>
      </w:r>
      <w:r w:rsidRPr="0092495D">
        <w:rPr>
          <w:rFonts w:ascii="Arial" w:hAnsi="Arial" w:cs="Arial"/>
          <w:sz w:val="24"/>
          <w:szCs w:val="24"/>
          <w:vertAlign w:val="superscript"/>
        </w:rPr>
        <w:t>st</w:t>
      </w:r>
      <w:r w:rsidRPr="0092495D">
        <w:rPr>
          <w:rFonts w:ascii="Arial" w:hAnsi="Arial" w:cs="Arial"/>
          <w:sz w:val="24"/>
          <w:szCs w:val="24"/>
        </w:rPr>
        <w:t xml:space="preserve"> April 2022.</w:t>
      </w:r>
    </w:p>
    <w:p w14:paraId="36A1B841" w14:textId="77777777" w:rsidR="0092495D" w:rsidRPr="0092495D" w:rsidRDefault="0092495D" w:rsidP="0092495D">
      <w:pPr>
        <w:pStyle w:val="ListParagraph"/>
        <w:tabs>
          <w:tab w:val="left" w:pos="426"/>
        </w:tabs>
        <w:ind w:left="0"/>
        <w:rPr>
          <w:rFonts w:ascii="Arial" w:hAnsi="Arial" w:cs="Arial"/>
          <w:sz w:val="24"/>
          <w:szCs w:val="24"/>
        </w:rPr>
      </w:pPr>
    </w:p>
    <w:p w14:paraId="7526719F" w14:textId="77777777" w:rsidR="0092495D" w:rsidRPr="0092495D" w:rsidRDefault="0092495D" w:rsidP="0092495D">
      <w:pPr>
        <w:pStyle w:val="ListParagraph"/>
        <w:tabs>
          <w:tab w:val="left" w:pos="426"/>
        </w:tabs>
        <w:ind w:left="0"/>
        <w:rPr>
          <w:rFonts w:ascii="Arial" w:hAnsi="Arial" w:cs="Arial"/>
          <w:sz w:val="24"/>
          <w:szCs w:val="24"/>
        </w:rPr>
      </w:pPr>
      <w:r w:rsidRPr="0092495D">
        <w:rPr>
          <w:rFonts w:ascii="Arial" w:hAnsi="Arial" w:cs="Arial"/>
          <w:sz w:val="24"/>
          <w:szCs w:val="24"/>
        </w:rPr>
        <w:t xml:space="preserve">To allow the Department to have the same powers under the HMRs as the HSCB currently has as Health Authority and de </w:t>
      </w:r>
      <w:proofErr w:type="gramStart"/>
      <w:r w:rsidRPr="0092495D">
        <w:rPr>
          <w:rFonts w:ascii="Arial" w:hAnsi="Arial" w:cs="Arial"/>
          <w:sz w:val="24"/>
          <w:szCs w:val="24"/>
        </w:rPr>
        <w:t>facto</w:t>
      </w:r>
      <w:proofErr w:type="gramEnd"/>
      <w:r w:rsidRPr="0092495D">
        <w:rPr>
          <w:rFonts w:ascii="Arial" w:hAnsi="Arial" w:cs="Arial"/>
          <w:sz w:val="24"/>
          <w:szCs w:val="24"/>
        </w:rPr>
        <w:t xml:space="preserve"> because of this also an NHS body for the purpose to be legally able to authorise a PGD, it is proposed to amend the definition at Regulation 213 with regards “Health Authority” to the Department of Health. This will allow for a seamless transition of commissioning functions in relation to PGDs to migrate to the Department.</w:t>
      </w:r>
    </w:p>
    <w:p w14:paraId="5EE1E30F" w14:textId="77777777" w:rsidR="0092495D" w:rsidRPr="0092495D" w:rsidRDefault="0092495D" w:rsidP="0092495D">
      <w:pPr>
        <w:pStyle w:val="ListParagraph"/>
        <w:tabs>
          <w:tab w:val="left" w:pos="426"/>
        </w:tabs>
        <w:spacing w:line="360" w:lineRule="auto"/>
        <w:ind w:left="0"/>
        <w:rPr>
          <w:rFonts w:ascii="Arial" w:hAnsi="Arial" w:cs="Arial"/>
          <w:sz w:val="24"/>
          <w:szCs w:val="24"/>
        </w:rPr>
      </w:pPr>
    </w:p>
    <w:p w14:paraId="1AD0B1DC" w14:textId="77777777" w:rsidR="0092495D" w:rsidRPr="0092495D" w:rsidRDefault="0092495D" w:rsidP="0092495D">
      <w:pPr>
        <w:pStyle w:val="ListParagraph"/>
        <w:tabs>
          <w:tab w:val="left" w:pos="426"/>
        </w:tabs>
        <w:spacing w:line="360" w:lineRule="auto"/>
        <w:ind w:left="0"/>
        <w:rPr>
          <w:rFonts w:ascii="Arial" w:hAnsi="Arial" w:cs="Arial"/>
          <w:sz w:val="24"/>
          <w:szCs w:val="24"/>
          <w:u w:val="single"/>
        </w:rPr>
      </w:pPr>
      <w:r w:rsidRPr="0092495D">
        <w:rPr>
          <w:rFonts w:ascii="Arial" w:hAnsi="Arial" w:cs="Arial"/>
          <w:sz w:val="24"/>
          <w:szCs w:val="24"/>
          <w:u w:val="single"/>
        </w:rPr>
        <w:t>Administrative Arrangements</w:t>
      </w:r>
    </w:p>
    <w:p w14:paraId="5343FE9E" w14:textId="77777777" w:rsidR="0092495D" w:rsidRPr="0092495D" w:rsidRDefault="0092495D" w:rsidP="0092495D">
      <w:pPr>
        <w:pStyle w:val="ListParagraph"/>
        <w:tabs>
          <w:tab w:val="left" w:pos="426"/>
        </w:tabs>
        <w:ind w:left="0"/>
        <w:rPr>
          <w:rFonts w:ascii="Arial" w:hAnsi="Arial" w:cs="Arial"/>
          <w:sz w:val="24"/>
          <w:szCs w:val="24"/>
        </w:rPr>
      </w:pPr>
    </w:p>
    <w:p w14:paraId="728BC7FD" w14:textId="77777777" w:rsidR="0092495D" w:rsidRPr="0092495D" w:rsidRDefault="0092495D" w:rsidP="0092495D">
      <w:pPr>
        <w:pStyle w:val="ListParagraph"/>
        <w:tabs>
          <w:tab w:val="left" w:pos="426"/>
        </w:tabs>
        <w:ind w:left="0"/>
        <w:rPr>
          <w:rFonts w:ascii="Arial" w:hAnsi="Arial" w:cs="Arial"/>
          <w:sz w:val="24"/>
          <w:szCs w:val="24"/>
        </w:rPr>
      </w:pPr>
      <w:r w:rsidRPr="0092495D">
        <w:rPr>
          <w:rFonts w:ascii="Arial" w:hAnsi="Arial" w:cs="Arial"/>
          <w:sz w:val="24"/>
          <w:szCs w:val="24"/>
        </w:rPr>
        <w:t xml:space="preserve">It </w:t>
      </w:r>
      <w:proofErr w:type="gramStart"/>
      <w:r w:rsidRPr="0092495D">
        <w:rPr>
          <w:rFonts w:ascii="Arial" w:hAnsi="Arial" w:cs="Arial"/>
          <w:sz w:val="24"/>
          <w:szCs w:val="24"/>
        </w:rPr>
        <w:t>is also recognised</w:t>
      </w:r>
      <w:proofErr w:type="gramEnd"/>
      <w:r w:rsidRPr="0092495D">
        <w:rPr>
          <w:rFonts w:ascii="Arial" w:hAnsi="Arial" w:cs="Arial"/>
          <w:sz w:val="24"/>
          <w:szCs w:val="24"/>
        </w:rPr>
        <w:t xml:space="preserve"> that the Minister of the Department of Health has extant powers of enforcement under the HMRs and officers of the Department’s Medicines Regulatory Group carry out inspection and enforcement activities on his behalf.  Following legal advice on the matter administrative arrangements </w:t>
      </w:r>
      <w:proofErr w:type="gramStart"/>
      <w:r w:rsidRPr="0092495D">
        <w:rPr>
          <w:rFonts w:ascii="Arial" w:hAnsi="Arial" w:cs="Arial"/>
          <w:sz w:val="24"/>
          <w:szCs w:val="24"/>
        </w:rPr>
        <w:t>are being put</w:t>
      </w:r>
      <w:proofErr w:type="gramEnd"/>
      <w:r w:rsidRPr="0092495D">
        <w:rPr>
          <w:rFonts w:ascii="Arial" w:hAnsi="Arial" w:cs="Arial"/>
          <w:sz w:val="24"/>
          <w:szCs w:val="24"/>
        </w:rPr>
        <w:t xml:space="preserve"> in place to mitigate against any potential conflict with the extant role the Department holds in enforcement of HMRs and the adoption of a commissioning function that the Department would then potentially have to take enforcement action against. </w:t>
      </w:r>
    </w:p>
    <w:p w14:paraId="778437E2" w14:textId="77777777" w:rsidR="0092495D" w:rsidRPr="0092495D" w:rsidRDefault="0092495D" w:rsidP="0092495D">
      <w:pPr>
        <w:pStyle w:val="ListParagraph"/>
        <w:tabs>
          <w:tab w:val="left" w:pos="426"/>
        </w:tabs>
        <w:ind w:left="0"/>
        <w:rPr>
          <w:rFonts w:ascii="Arial" w:hAnsi="Arial" w:cs="Arial"/>
          <w:sz w:val="24"/>
          <w:szCs w:val="24"/>
        </w:rPr>
      </w:pPr>
    </w:p>
    <w:p w14:paraId="2660C66D" w14:textId="77777777" w:rsidR="0092495D" w:rsidRPr="0092495D" w:rsidRDefault="0092495D" w:rsidP="0092495D">
      <w:pPr>
        <w:pStyle w:val="ListParagraph"/>
        <w:tabs>
          <w:tab w:val="left" w:pos="426"/>
        </w:tabs>
        <w:ind w:left="0"/>
        <w:rPr>
          <w:rFonts w:ascii="Arial" w:hAnsi="Arial" w:cs="Arial"/>
          <w:sz w:val="24"/>
          <w:szCs w:val="24"/>
        </w:rPr>
      </w:pPr>
      <w:r w:rsidRPr="0092495D">
        <w:rPr>
          <w:rFonts w:ascii="Arial" w:hAnsi="Arial" w:cs="Arial"/>
          <w:sz w:val="24"/>
          <w:szCs w:val="24"/>
        </w:rPr>
        <w:t xml:space="preserve">These administrative arrangements will separate the enforcement responsibilities under HMRs from the development and authorisation functions of PGDs.  The newly formed SSPG within the Department will be responsible for the development and authorisation functions of PGDs. </w:t>
      </w:r>
    </w:p>
    <w:p w14:paraId="69A8F7AC" w14:textId="77777777" w:rsidR="0092495D" w:rsidRPr="0092495D" w:rsidRDefault="0092495D" w:rsidP="0092495D">
      <w:pPr>
        <w:pStyle w:val="ListParagraph"/>
        <w:tabs>
          <w:tab w:val="left" w:pos="426"/>
        </w:tabs>
        <w:ind w:left="0"/>
        <w:rPr>
          <w:rFonts w:ascii="Arial" w:hAnsi="Arial" w:cs="Arial"/>
          <w:sz w:val="24"/>
          <w:szCs w:val="24"/>
        </w:rPr>
      </w:pPr>
    </w:p>
    <w:p w14:paraId="1232648B" w14:textId="77777777" w:rsidR="0092495D" w:rsidRPr="0092495D" w:rsidRDefault="0092495D" w:rsidP="0092495D">
      <w:pPr>
        <w:pStyle w:val="ListParagraph"/>
        <w:tabs>
          <w:tab w:val="left" w:pos="426"/>
        </w:tabs>
        <w:ind w:left="0"/>
        <w:rPr>
          <w:rFonts w:ascii="Arial" w:hAnsi="Arial" w:cs="Arial"/>
          <w:sz w:val="24"/>
          <w:szCs w:val="24"/>
          <w:u w:val="single"/>
        </w:rPr>
      </w:pPr>
      <w:r w:rsidRPr="0092495D">
        <w:rPr>
          <w:rFonts w:ascii="Arial" w:hAnsi="Arial" w:cs="Arial"/>
          <w:sz w:val="24"/>
          <w:szCs w:val="24"/>
          <w:u w:val="single"/>
        </w:rPr>
        <w:t>Legislative powers</w:t>
      </w:r>
    </w:p>
    <w:p w14:paraId="3247E0EB" w14:textId="77777777" w:rsidR="0092495D" w:rsidRPr="0092495D" w:rsidRDefault="0092495D" w:rsidP="0092495D">
      <w:pPr>
        <w:pStyle w:val="ListParagraph"/>
        <w:tabs>
          <w:tab w:val="left" w:pos="426"/>
        </w:tabs>
        <w:ind w:left="0"/>
        <w:rPr>
          <w:rFonts w:ascii="Arial" w:hAnsi="Arial" w:cs="Arial"/>
          <w:sz w:val="24"/>
          <w:szCs w:val="24"/>
          <w:u w:val="single"/>
        </w:rPr>
      </w:pPr>
    </w:p>
    <w:p w14:paraId="0A8C6899" w14:textId="77777777" w:rsidR="0092495D" w:rsidRPr="0092495D" w:rsidRDefault="0092495D" w:rsidP="0092495D">
      <w:pPr>
        <w:pStyle w:val="ListParagraph"/>
        <w:tabs>
          <w:tab w:val="left" w:pos="426"/>
        </w:tabs>
        <w:ind w:left="0"/>
        <w:rPr>
          <w:rFonts w:ascii="Arial" w:hAnsi="Arial" w:cs="Arial"/>
          <w:sz w:val="24"/>
          <w:szCs w:val="24"/>
        </w:rPr>
      </w:pPr>
      <w:r w:rsidRPr="0092495D">
        <w:rPr>
          <w:rFonts w:ascii="Arial" w:hAnsi="Arial" w:cs="Arial"/>
          <w:sz w:val="24"/>
          <w:szCs w:val="24"/>
        </w:rPr>
        <w:t xml:space="preserve">The Medicines and Medical Devices (MMD) Act 2021 provides the powers to amend and update the HMRs. The MMD Act requires a public consultation on any changes to HMRs when using the powers of the Act. The MMD Act also stipulates that the appropriate authority when making regulations an assessment needs to </w:t>
      </w:r>
      <w:proofErr w:type="gramStart"/>
      <w:r w:rsidRPr="0092495D">
        <w:rPr>
          <w:rFonts w:ascii="Arial" w:hAnsi="Arial" w:cs="Arial"/>
          <w:sz w:val="24"/>
          <w:szCs w:val="24"/>
        </w:rPr>
        <w:t>be carried</w:t>
      </w:r>
      <w:proofErr w:type="gramEnd"/>
      <w:r w:rsidRPr="0092495D">
        <w:rPr>
          <w:rFonts w:ascii="Arial" w:hAnsi="Arial" w:cs="Arial"/>
          <w:sz w:val="24"/>
          <w:szCs w:val="24"/>
        </w:rPr>
        <w:t xml:space="preserve"> out whether regulations would contribute to the objective of safeguarding public health, and have regard to a number of factors.  This assessment </w:t>
      </w:r>
      <w:proofErr w:type="gramStart"/>
      <w:r w:rsidRPr="0092495D">
        <w:rPr>
          <w:rFonts w:ascii="Arial" w:hAnsi="Arial" w:cs="Arial"/>
          <w:sz w:val="24"/>
          <w:szCs w:val="24"/>
        </w:rPr>
        <w:t>is attached</w:t>
      </w:r>
      <w:proofErr w:type="gramEnd"/>
      <w:r w:rsidRPr="0092495D">
        <w:rPr>
          <w:rFonts w:ascii="Arial" w:hAnsi="Arial" w:cs="Arial"/>
          <w:sz w:val="24"/>
          <w:szCs w:val="24"/>
        </w:rPr>
        <w:t xml:space="preserve"> at Annex A.</w:t>
      </w:r>
    </w:p>
    <w:p w14:paraId="47956529" w14:textId="77777777" w:rsidR="0092495D" w:rsidRPr="0092495D" w:rsidRDefault="0092495D" w:rsidP="0092495D">
      <w:pPr>
        <w:pStyle w:val="ListParagraph"/>
        <w:tabs>
          <w:tab w:val="left" w:pos="426"/>
        </w:tabs>
        <w:ind w:left="0"/>
        <w:rPr>
          <w:rFonts w:ascii="Arial" w:hAnsi="Arial" w:cs="Arial"/>
          <w:sz w:val="24"/>
          <w:szCs w:val="24"/>
        </w:rPr>
      </w:pPr>
    </w:p>
    <w:p w14:paraId="4956BCD9" w14:textId="77777777" w:rsidR="0092495D" w:rsidRPr="0092495D" w:rsidRDefault="0092495D" w:rsidP="0092495D">
      <w:pPr>
        <w:pStyle w:val="ListParagraph"/>
        <w:tabs>
          <w:tab w:val="left" w:pos="426"/>
        </w:tabs>
        <w:ind w:left="0"/>
        <w:rPr>
          <w:rFonts w:ascii="Arial" w:hAnsi="Arial" w:cs="Arial"/>
          <w:sz w:val="24"/>
          <w:szCs w:val="24"/>
          <w:u w:val="single"/>
        </w:rPr>
      </w:pPr>
      <w:r w:rsidRPr="0092495D">
        <w:rPr>
          <w:rFonts w:ascii="Arial" w:hAnsi="Arial" w:cs="Arial"/>
          <w:sz w:val="24"/>
          <w:szCs w:val="24"/>
          <w:u w:val="single"/>
        </w:rPr>
        <w:lastRenderedPageBreak/>
        <w:t>Summary</w:t>
      </w:r>
    </w:p>
    <w:p w14:paraId="1F979A57" w14:textId="77777777" w:rsidR="0092495D" w:rsidRPr="0092495D" w:rsidRDefault="0092495D" w:rsidP="0092495D">
      <w:pPr>
        <w:pStyle w:val="ListParagraph"/>
        <w:tabs>
          <w:tab w:val="left" w:pos="426"/>
        </w:tabs>
        <w:ind w:left="0"/>
        <w:rPr>
          <w:rFonts w:ascii="Arial" w:hAnsi="Arial" w:cs="Arial"/>
          <w:sz w:val="24"/>
          <w:szCs w:val="24"/>
          <w:u w:val="single"/>
        </w:rPr>
      </w:pPr>
    </w:p>
    <w:p w14:paraId="1608B65A" w14:textId="77777777" w:rsidR="0092495D" w:rsidRPr="0092495D" w:rsidRDefault="0092495D" w:rsidP="0092495D">
      <w:pPr>
        <w:pStyle w:val="ListParagraph"/>
        <w:tabs>
          <w:tab w:val="left" w:pos="426"/>
        </w:tabs>
        <w:ind w:left="0"/>
        <w:rPr>
          <w:rFonts w:ascii="Arial" w:hAnsi="Arial" w:cs="Arial"/>
          <w:sz w:val="24"/>
          <w:szCs w:val="24"/>
          <w:lang w:val="en-US"/>
        </w:rPr>
      </w:pPr>
      <w:r w:rsidRPr="0092495D">
        <w:rPr>
          <w:rFonts w:ascii="Arial" w:hAnsi="Arial" w:cs="Arial"/>
          <w:sz w:val="24"/>
          <w:szCs w:val="24"/>
        </w:rPr>
        <w:t xml:space="preserve">Due to the important nature of these services, it is imperative that PGDs can continue to </w:t>
      </w:r>
      <w:proofErr w:type="gramStart"/>
      <w:r w:rsidRPr="0092495D">
        <w:rPr>
          <w:rFonts w:ascii="Arial" w:hAnsi="Arial" w:cs="Arial"/>
          <w:sz w:val="24"/>
          <w:szCs w:val="24"/>
        </w:rPr>
        <w:t>be issued</w:t>
      </w:r>
      <w:proofErr w:type="gramEnd"/>
      <w:r w:rsidRPr="0092495D">
        <w:rPr>
          <w:rFonts w:ascii="Arial" w:hAnsi="Arial" w:cs="Arial"/>
          <w:sz w:val="24"/>
          <w:szCs w:val="24"/>
        </w:rPr>
        <w:t xml:space="preserve"> in an appropriate and timely manner. The purpose of consultation is to seek views on the proposed change to the HMRs to designate the Department of Health in Northern Ireland as a ‘Health Authority’ and allow </w:t>
      </w:r>
      <w:r w:rsidRPr="0092495D">
        <w:rPr>
          <w:rFonts w:ascii="Arial" w:hAnsi="Arial" w:cs="Arial"/>
          <w:sz w:val="24"/>
          <w:szCs w:val="24"/>
          <w:lang w:val="en-US"/>
        </w:rPr>
        <w:t xml:space="preserve">statutory functions in relation to PGDs to become the responsibility of the Department from 1st April 2022. </w:t>
      </w:r>
    </w:p>
    <w:p w14:paraId="67485DC1" w14:textId="77777777" w:rsidR="0092495D" w:rsidRPr="0092495D" w:rsidRDefault="0092495D" w:rsidP="0092495D">
      <w:pPr>
        <w:pStyle w:val="ListParagraph"/>
        <w:tabs>
          <w:tab w:val="left" w:pos="426"/>
        </w:tabs>
        <w:ind w:left="0"/>
        <w:rPr>
          <w:rFonts w:ascii="Arial" w:hAnsi="Arial" w:cs="Arial"/>
          <w:sz w:val="24"/>
          <w:szCs w:val="24"/>
        </w:rPr>
      </w:pPr>
    </w:p>
    <w:p w14:paraId="5E41A4C1" w14:textId="77777777" w:rsidR="0092495D" w:rsidRPr="0092495D" w:rsidRDefault="0092495D" w:rsidP="0092495D">
      <w:pPr>
        <w:pStyle w:val="ListParagraph"/>
        <w:tabs>
          <w:tab w:val="left" w:pos="426"/>
        </w:tabs>
        <w:ind w:left="0"/>
        <w:rPr>
          <w:rFonts w:ascii="Arial" w:hAnsi="Arial" w:cs="Arial"/>
          <w:b/>
          <w:sz w:val="24"/>
          <w:szCs w:val="24"/>
        </w:rPr>
      </w:pPr>
      <w:r w:rsidRPr="0092495D">
        <w:rPr>
          <w:rFonts w:ascii="Arial" w:hAnsi="Arial" w:cs="Arial"/>
          <w:b/>
          <w:sz w:val="24"/>
          <w:szCs w:val="24"/>
        </w:rPr>
        <w:t xml:space="preserve">Equality and Human Rights considerations </w:t>
      </w:r>
    </w:p>
    <w:p w14:paraId="175A72AE" w14:textId="77777777" w:rsidR="0092495D" w:rsidRPr="0092495D" w:rsidRDefault="0092495D" w:rsidP="0092495D">
      <w:pPr>
        <w:pStyle w:val="ListParagraph"/>
        <w:tabs>
          <w:tab w:val="left" w:pos="426"/>
        </w:tabs>
        <w:ind w:left="0"/>
        <w:rPr>
          <w:rFonts w:ascii="Arial" w:hAnsi="Arial" w:cs="Arial"/>
          <w:bCs/>
          <w:sz w:val="24"/>
          <w:szCs w:val="24"/>
        </w:rPr>
      </w:pPr>
    </w:p>
    <w:p w14:paraId="03EE4CA4" w14:textId="77777777" w:rsidR="0092495D" w:rsidRPr="0092495D" w:rsidRDefault="0092495D" w:rsidP="0092495D">
      <w:pPr>
        <w:pStyle w:val="ListParagraph"/>
        <w:tabs>
          <w:tab w:val="left" w:pos="426"/>
        </w:tabs>
        <w:ind w:left="0"/>
        <w:rPr>
          <w:rFonts w:ascii="Arial" w:hAnsi="Arial" w:cs="Arial"/>
          <w:sz w:val="24"/>
          <w:szCs w:val="24"/>
        </w:rPr>
      </w:pPr>
      <w:r w:rsidRPr="0092495D">
        <w:rPr>
          <w:rFonts w:ascii="Arial" w:hAnsi="Arial" w:cs="Arial"/>
          <w:bCs/>
          <w:sz w:val="24"/>
          <w:szCs w:val="24"/>
        </w:rPr>
        <w:t xml:space="preserve">In accordance with guidance produced by the Equality Commission for Northern Ireland and in keeping with section 75 of the Northern Ireland Act 1998, this proposed amendment been equality screened and a preliminary decision has been taken that a full EQIA is not required.  </w:t>
      </w:r>
      <w:r w:rsidRPr="0092495D">
        <w:rPr>
          <w:rFonts w:ascii="Arial" w:hAnsi="Arial" w:cs="Arial"/>
          <w:sz w:val="24"/>
          <w:szCs w:val="24"/>
        </w:rPr>
        <w:t xml:space="preserve">This preliminary decision is subject to change following analysis of feedback received during this consultation. </w:t>
      </w:r>
    </w:p>
    <w:p w14:paraId="67FED15E" w14:textId="77777777" w:rsidR="0092495D" w:rsidRPr="0092495D" w:rsidRDefault="0092495D" w:rsidP="0092495D">
      <w:pPr>
        <w:pStyle w:val="ListParagraph"/>
        <w:tabs>
          <w:tab w:val="left" w:pos="426"/>
        </w:tabs>
        <w:ind w:left="0"/>
        <w:rPr>
          <w:rFonts w:ascii="Arial" w:hAnsi="Arial" w:cs="Arial"/>
          <w:sz w:val="24"/>
          <w:szCs w:val="24"/>
        </w:rPr>
      </w:pPr>
    </w:p>
    <w:p w14:paraId="35B30048" w14:textId="77777777" w:rsidR="0092495D" w:rsidRPr="0092495D" w:rsidRDefault="0092495D" w:rsidP="0092495D">
      <w:pPr>
        <w:pStyle w:val="ListParagraph"/>
        <w:tabs>
          <w:tab w:val="left" w:pos="426"/>
        </w:tabs>
        <w:ind w:left="0"/>
        <w:rPr>
          <w:rFonts w:ascii="Arial" w:hAnsi="Arial" w:cs="Arial"/>
          <w:bCs/>
          <w:sz w:val="24"/>
          <w:szCs w:val="24"/>
        </w:rPr>
      </w:pPr>
      <w:r w:rsidRPr="0092495D">
        <w:rPr>
          <w:rFonts w:ascii="Arial" w:hAnsi="Arial" w:cs="Arial"/>
          <w:bCs/>
          <w:sz w:val="24"/>
          <w:szCs w:val="24"/>
        </w:rPr>
        <w:t>The Department has also considered the policy from a Human Rights perspective and has provisionally concluded that this amendment will not engage any of the rights.</w:t>
      </w:r>
    </w:p>
    <w:p w14:paraId="2F1E8AAC" w14:textId="77777777" w:rsidR="0092495D" w:rsidRPr="0092495D" w:rsidRDefault="0092495D" w:rsidP="0092495D">
      <w:pPr>
        <w:pStyle w:val="ListParagraph"/>
        <w:tabs>
          <w:tab w:val="left" w:pos="426"/>
        </w:tabs>
        <w:ind w:left="0"/>
        <w:rPr>
          <w:rFonts w:ascii="Arial" w:hAnsi="Arial" w:cs="Arial"/>
          <w:b/>
          <w:sz w:val="24"/>
          <w:szCs w:val="24"/>
        </w:rPr>
      </w:pPr>
    </w:p>
    <w:p w14:paraId="41BAAB05" w14:textId="77777777" w:rsidR="0092495D" w:rsidRPr="0092495D" w:rsidRDefault="0092495D" w:rsidP="0092495D">
      <w:pPr>
        <w:pStyle w:val="ListParagraph"/>
        <w:tabs>
          <w:tab w:val="left" w:pos="426"/>
        </w:tabs>
        <w:ind w:left="0"/>
        <w:rPr>
          <w:rFonts w:ascii="Arial" w:hAnsi="Arial" w:cs="Arial"/>
          <w:b/>
          <w:sz w:val="24"/>
          <w:szCs w:val="24"/>
        </w:rPr>
      </w:pPr>
      <w:r w:rsidRPr="0092495D">
        <w:rPr>
          <w:rFonts w:ascii="Arial" w:hAnsi="Arial" w:cs="Arial"/>
          <w:b/>
          <w:sz w:val="24"/>
          <w:szCs w:val="24"/>
        </w:rPr>
        <w:t>Rural Impact</w:t>
      </w:r>
    </w:p>
    <w:p w14:paraId="313FC40C" w14:textId="77777777" w:rsidR="0092495D" w:rsidRPr="0092495D" w:rsidRDefault="0092495D" w:rsidP="0092495D">
      <w:pPr>
        <w:pStyle w:val="ListParagraph"/>
        <w:tabs>
          <w:tab w:val="left" w:pos="426"/>
        </w:tabs>
        <w:ind w:left="0"/>
        <w:rPr>
          <w:rFonts w:ascii="Arial" w:hAnsi="Arial" w:cs="Arial"/>
          <w:sz w:val="24"/>
          <w:szCs w:val="24"/>
          <w:lang w:val="en"/>
        </w:rPr>
      </w:pPr>
    </w:p>
    <w:p w14:paraId="7650C30B" w14:textId="77777777" w:rsidR="0092495D" w:rsidRPr="0092495D" w:rsidRDefault="0092495D" w:rsidP="0092495D">
      <w:pPr>
        <w:pStyle w:val="ListParagraph"/>
        <w:tabs>
          <w:tab w:val="left" w:pos="426"/>
        </w:tabs>
        <w:ind w:left="0"/>
        <w:rPr>
          <w:rFonts w:ascii="Arial" w:hAnsi="Arial" w:cs="Arial"/>
          <w:sz w:val="24"/>
          <w:szCs w:val="24"/>
        </w:rPr>
      </w:pPr>
      <w:r w:rsidRPr="0092495D">
        <w:rPr>
          <w:rFonts w:ascii="Arial" w:hAnsi="Arial" w:cs="Arial"/>
          <w:sz w:val="24"/>
          <w:szCs w:val="24"/>
          <w:lang w:val="en"/>
        </w:rPr>
        <w:t>The Rural Needs Act (Northern Ireland) 2016 places a duty on public authorities, including government departments, to have due regard to rural needs when developing, adopting, implementing or revising policies, strategies and plans and when designing and delivering public services.</w:t>
      </w:r>
      <w:r w:rsidRPr="0092495D">
        <w:rPr>
          <w:rFonts w:ascii="Arial" w:hAnsi="Arial" w:cs="Arial"/>
          <w:sz w:val="24"/>
          <w:szCs w:val="24"/>
        </w:rPr>
        <w:t xml:space="preserve">  The proposed amendment to the HMRs has been subject to an initial screening and it </w:t>
      </w:r>
      <w:proofErr w:type="gramStart"/>
      <w:r w:rsidRPr="0092495D">
        <w:rPr>
          <w:rFonts w:ascii="Arial" w:hAnsi="Arial" w:cs="Arial"/>
          <w:sz w:val="24"/>
          <w:szCs w:val="24"/>
        </w:rPr>
        <w:t>is not expected</w:t>
      </w:r>
      <w:proofErr w:type="gramEnd"/>
      <w:r w:rsidRPr="0092495D">
        <w:rPr>
          <w:rFonts w:ascii="Arial" w:hAnsi="Arial" w:cs="Arial"/>
          <w:sz w:val="24"/>
          <w:szCs w:val="24"/>
        </w:rPr>
        <w:t xml:space="preserve"> that this will present any specific or differential rural impacts, as it is mainly a technical amendment.  This preliminary decision is subject to change following analysis of feedback received during this consultation.  </w:t>
      </w:r>
    </w:p>
    <w:p w14:paraId="1357702A" w14:textId="77777777" w:rsidR="0092495D" w:rsidRPr="0092495D" w:rsidRDefault="0092495D" w:rsidP="0092495D">
      <w:pPr>
        <w:pStyle w:val="ListParagraph"/>
        <w:tabs>
          <w:tab w:val="left" w:pos="426"/>
        </w:tabs>
        <w:ind w:left="0"/>
        <w:rPr>
          <w:rFonts w:ascii="Arial" w:hAnsi="Arial" w:cs="Arial"/>
          <w:b/>
          <w:sz w:val="24"/>
          <w:szCs w:val="24"/>
        </w:rPr>
      </w:pPr>
    </w:p>
    <w:p w14:paraId="1C76B5C8" w14:textId="77777777" w:rsidR="0092495D" w:rsidRPr="0092495D" w:rsidRDefault="0092495D" w:rsidP="0092495D">
      <w:pPr>
        <w:pStyle w:val="ListParagraph"/>
        <w:tabs>
          <w:tab w:val="left" w:pos="426"/>
        </w:tabs>
        <w:ind w:left="0"/>
        <w:rPr>
          <w:rFonts w:ascii="Arial" w:hAnsi="Arial" w:cs="Arial"/>
          <w:b/>
          <w:sz w:val="24"/>
          <w:szCs w:val="24"/>
        </w:rPr>
      </w:pPr>
      <w:r w:rsidRPr="0092495D">
        <w:rPr>
          <w:rFonts w:ascii="Arial" w:hAnsi="Arial" w:cs="Arial"/>
          <w:b/>
          <w:sz w:val="24"/>
          <w:szCs w:val="24"/>
        </w:rPr>
        <w:t xml:space="preserve">Regulatory Impact </w:t>
      </w:r>
    </w:p>
    <w:p w14:paraId="112867D1" w14:textId="77777777" w:rsidR="0092495D" w:rsidRPr="0092495D" w:rsidRDefault="0092495D" w:rsidP="0092495D">
      <w:pPr>
        <w:pStyle w:val="ListParagraph"/>
        <w:tabs>
          <w:tab w:val="left" w:pos="426"/>
        </w:tabs>
        <w:ind w:left="0"/>
        <w:rPr>
          <w:rFonts w:ascii="Arial" w:hAnsi="Arial" w:cs="Arial"/>
          <w:sz w:val="24"/>
          <w:szCs w:val="24"/>
        </w:rPr>
      </w:pPr>
    </w:p>
    <w:p w14:paraId="56236C34" w14:textId="77777777" w:rsidR="0092495D" w:rsidRPr="0092495D" w:rsidRDefault="0092495D" w:rsidP="0092495D">
      <w:pPr>
        <w:pStyle w:val="ListParagraph"/>
        <w:tabs>
          <w:tab w:val="left" w:pos="426"/>
        </w:tabs>
        <w:ind w:left="0"/>
        <w:rPr>
          <w:rFonts w:ascii="Arial" w:hAnsi="Arial" w:cs="Arial"/>
          <w:sz w:val="24"/>
          <w:szCs w:val="24"/>
          <w:lang w:val="en-US"/>
        </w:rPr>
      </w:pPr>
      <w:proofErr w:type="gramStart"/>
      <w:r w:rsidRPr="0092495D">
        <w:rPr>
          <w:rFonts w:ascii="Arial" w:hAnsi="Arial" w:cs="Arial"/>
          <w:sz w:val="24"/>
          <w:szCs w:val="24"/>
        </w:rPr>
        <w:t>The Department has conducted an initial screening and considers that a regulatory impact assessment is not appropriate.</w:t>
      </w:r>
      <w:proofErr w:type="gramEnd"/>
      <w:r w:rsidRPr="0092495D">
        <w:rPr>
          <w:rFonts w:ascii="Arial" w:hAnsi="Arial" w:cs="Arial"/>
          <w:sz w:val="24"/>
          <w:szCs w:val="24"/>
        </w:rPr>
        <w:t xml:space="preserve">  The amendment required to the HMRs imposes no additional costs on charities, social economy enterprises or the voluntary sector.</w:t>
      </w:r>
      <w:r w:rsidRPr="0092495D">
        <w:rPr>
          <w:rFonts w:ascii="Arial" w:hAnsi="Arial" w:cs="Arial"/>
          <w:sz w:val="24"/>
          <w:szCs w:val="24"/>
          <w:lang w:val="en-US"/>
        </w:rPr>
        <w:t xml:space="preserve"> </w:t>
      </w:r>
    </w:p>
    <w:p w14:paraId="27FAF855" w14:textId="77777777" w:rsidR="0092495D" w:rsidRPr="0092495D" w:rsidRDefault="0092495D" w:rsidP="0092495D">
      <w:pPr>
        <w:pStyle w:val="ListParagraph"/>
        <w:tabs>
          <w:tab w:val="left" w:pos="426"/>
        </w:tabs>
        <w:ind w:left="0"/>
        <w:rPr>
          <w:rFonts w:ascii="Arial" w:hAnsi="Arial" w:cs="Arial"/>
          <w:b/>
          <w:sz w:val="24"/>
          <w:szCs w:val="24"/>
        </w:rPr>
      </w:pPr>
    </w:p>
    <w:p w14:paraId="6215AEDE" w14:textId="77777777" w:rsidR="0092495D" w:rsidRPr="0092495D" w:rsidRDefault="0092495D" w:rsidP="0092495D">
      <w:pPr>
        <w:pStyle w:val="ListParagraph"/>
        <w:tabs>
          <w:tab w:val="left" w:pos="426"/>
        </w:tabs>
        <w:ind w:left="0"/>
        <w:rPr>
          <w:rFonts w:ascii="Arial" w:hAnsi="Arial" w:cs="Arial"/>
          <w:b/>
          <w:sz w:val="24"/>
          <w:szCs w:val="24"/>
        </w:rPr>
      </w:pPr>
      <w:r w:rsidRPr="0092495D">
        <w:rPr>
          <w:rFonts w:ascii="Arial" w:hAnsi="Arial" w:cs="Arial"/>
          <w:b/>
          <w:sz w:val="24"/>
          <w:szCs w:val="24"/>
        </w:rPr>
        <w:t>Freedom of Information</w:t>
      </w:r>
    </w:p>
    <w:p w14:paraId="74E25A41" w14:textId="77777777" w:rsidR="0092495D" w:rsidRPr="0092495D" w:rsidRDefault="0092495D" w:rsidP="0092495D">
      <w:pPr>
        <w:pStyle w:val="ListParagraph"/>
        <w:tabs>
          <w:tab w:val="left" w:pos="426"/>
        </w:tabs>
        <w:ind w:left="0"/>
        <w:rPr>
          <w:rFonts w:ascii="Arial" w:hAnsi="Arial" w:cs="Arial"/>
          <w:sz w:val="24"/>
          <w:szCs w:val="24"/>
        </w:rPr>
      </w:pPr>
    </w:p>
    <w:p w14:paraId="2AAD6720" w14:textId="77777777" w:rsidR="0092495D" w:rsidRPr="0092495D" w:rsidRDefault="0092495D" w:rsidP="0092495D">
      <w:pPr>
        <w:pStyle w:val="ListParagraph"/>
        <w:tabs>
          <w:tab w:val="left" w:pos="426"/>
        </w:tabs>
        <w:ind w:left="0"/>
        <w:rPr>
          <w:rFonts w:ascii="Arial" w:hAnsi="Arial" w:cs="Arial"/>
          <w:sz w:val="24"/>
          <w:szCs w:val="24"/>
        </w:rPr>
      </w:pPr>
      <w:r w:rsidRPr="0092495D">
        <w:rPr>
          <w:rFonts w:ascii="Arial" w:hAnsi="Arial" w:cs="Arial"/>
          <w:sz w:val="24"/>
          <w:szCs w:val="24"/>
        </w:rPr>
        <w:t>Please see Appendix 1 to the consultation response document concerning the confidentiality of responses to consultations.</w:t>
      </w:r>
    </w:p>
    <w:p w14:paraId="595A05AC" w14:textId="77777777" w:rsidR="0092495D" w:rsidRPr="0092495D" w:rsidRDefault="0092495D" w:rsidP="0092495D">
      <w:pPr>
        <w:pStyle w:val="ListParagraph"/>
        <w:tabs>
          <w:tab w:val="left" w:pos="426"/>
        </w:tabs>
        <w:ind w:left="0"/>
        <w:rPr>
          <w:rFonts w:ascii="Arial" w:hAnsi="Arial" w:cs="Arial"/>
          <w:sz w:val="24"/>
          <w:szCs w:val="24"/>
        </w:rPr>
      </w:pPr>
    </w:p>
    <w:p w14:paraId="6D988986" w14:textId="77777777" w:rsidR="0092495D" w:rsidRPr="0092495D" w:rsidRDefault="0092495D" w:rsidP="0092495D">
      <w:pPr>
        <w:pStyle w:val="ListParagraph"/>
        <w:tabs>
          <w:tab w:val="left" w:pos="426"/>
        </w:tabs>
        <w:ind w:left="0"/>
        <w:rPr>
          <w:rFonts w:ascii="Arial" w:hAnsi="Arial" w:cs="Arial"/>
          <w:sz w:val="24"/>
          <w:szCs w:val="24"/>
        </w:rPr>
      </w:pPr>
      <w:r w:rsidRPr="0092495D">
        <w:rPr>
          <w:rFonts w:ascii="Arial" w:hAnsi="Arial" w:cs="Arial"/>
          <w:b/>
          <w:sz w:val="24"/>
          <w:szCs w:val="24"/>
        </w:rPr>
        <w:t xml:space="preserve">Consultation Privacy Notice </w:t>
      </w:r>
    </w:p>
    <w:p w14:paraId="0FE0C50E" w14:textId="77777777" w:rsidR="0092495D" w:rsidRPr="0092495D" w:rsidRDefault="0092495D" w:rsidP="0092495D">
      <w:pPr>
        <w:pStyle w:val="ListParagraph"/>
        <w:tabs>
          <w:tab w:val="left" w:pos="426"/>
        </w:tabs>
        <w:ind w:left="0"/>
        <w:rPr>
          <w:rFonts w:ascii="Arial" w:hAnsi="Arial" w:cs="Arial"/>
          <w:sz w:val="24"/>
          <w:szCs w:val="24"/>
        </w:rPr>
      </w:pPr>
    </w:p>
    <w:p w14:paraId="3CF468CD" w14:textId="77777777" w:rsidR="0092495D" w:rsidRPr="0092495D" w:rsidRDefault="0092495D" w:rsidP="0092495D">
      <w:pPr>
        <w:pStyle w:val="ListParagraph"/>
        <w:tabs>
          <w:tab w:val="left" w:pos="426"/>
        </w:tabs>
        <w:ind w:left="0"/>
        <w:rPr>
          <w:rFonts w:ascii="Arial" w:hAnsi="Arial" w:cs="Arial"/>
          <w:sz w:val="24"/>
          <w:szCs w:val="24"/>
        </w:rPr>
      </w:pPr>
      <w:r w:rsidRPr="0092495D">
        <w:rPr>
          <w:rFonts w:ascii="Arial" w:hAnsi="Arial" w:cs="Arial"/>
          <w:sz w:val="24"/>
          <w:szCs w:val="24"/>
        </w:rPr>
        <w:t>Please see Appendix 2 to the consultation response document concerning consultation privacy notice.</w:t>
      </w:r>
    </w:p>
    <w:p w14:paraId="07655B97" w14:textId="77777777" w:rsidR="0092495D" w:rsidRPr="0092495D" w:rsidRDefault="0092495D" w:rsidP="0092495D">
      <w:pPr>
        <w:pStyle w:val="ListParagraph"/>
        <w:tabs>
          <w:tab w:val="left" w:pos="426"/>
        </w:tabs>
        <w:ind w:left="0"/>
        <w:rPr>
          <w:rFonts w:ascii="Arial" w:hAnsi="Arial" w:cs="Arial"/>
          <w:b/>
          <w:sz w:val="24"/>
          <w:szCs w:val="24"/>
        </w:rPr>
      </w:pPr>
    </w:p>
    <w:p w14:paraId="56775E89" w14:textId="77777777" w:rsidR="0092495D" w:rsidRPr="0092495D" w:rsidRDefault="0092495D" w:rsidP="0092495D">
      <w:pPr>
        <w:pStyle w:val="ListParagraph"/>
        <w:tabs>
          <w:tab w:val="left" w:pos="426"/>
        </w:tabs>
        <w:ind w:left="0"/>
        <w:rPr>
          <w:rFonts w:ascii="Arial" w:hAnsi="Arial" w:cs="Arial"/>
          <w:b/>
          <w:sz w:val="24"/>
          <w:szCs w:val="24"/>
        </w:rPr>
      </w:pPr>
      <w:r w:rsidRPr="0092495D">
        <w:rPr>
          <w:rFonts w:ascii="Arial" w:hAnsi="Arial" w:cs="Arial"/>
          <w:b/>
          <w:sz w:val="24"/>
          <w:szCs w:val="24"/>
        </w:rPr>
        <w:t>Responding to this consultation</w:t>
      </w:r>
    </w:p>
    <w:p w14:paraId="3C728DD4" w14:textId="77777777" w:rsidR="0092495D" w:rsidRPr="0092495D" w:rsidRDefault="0092495D" w:rsidP="0092495D">
      <w:pPr>
        <w:pStyle w:val="ListParagraph"/>
        <w:tabs>
          <w:tab w:val="left" w:pos="426"/>
        </w:tabs>
        <w:spacing w:line="240" w:lineRule="auto"/>
        <w:ind w:left="0"/>
        <w:rPr>
          <w:rFonts w:ascii="Arial" w:hAnsi="Arial" w:cs="Arial"/>
          <w:sz w:val="24"/>
          <w:szCs w:val="24"/>
        </w:rPr>
      </w:pPr>
    </w:p>
    <w:p w14:paraId="11B7D29D" w14:textId="77777777" w:rsidR="0092495D" w:rsidRPr="0092495D" w:rsidRDefault="0092495D" w:rsidP="0092495D">
      <w:pPr>
        <w:pStyle w:val="ListParagraph"/>
        <w:tabs>
          <w:tab w:val="left" w:pos="426"/>
        </w:tabs>
        <w:spacing w:line="240" w:lineRule="auto"/>
        <w:ind w:left="0"/>
        <w:rPr>
          <w:rFonts w:ascii="Arial" w:hAnsi="Arial" w:cs="Arial"/>
          <w:color w:val="0000FF"/>
          <w:sz w:val="24"/>
          <w:szCs w:val="24"/>
          <w:u w:val="single"/>
        </w:rPr>
      </w:pPr>
      <w:r w:rsidRPr="0092495D">
        <w:rPr>
          <w:rFonts w:ascii="Arial" w:hAnsi="Arial" w:cs="Arial"/>
          <w:sz w:val="24"/>
          <w:szCs w:val="24"/>
        </w:rPr>
        <w:t xml:space="preserve">A consultation Questionnaire </w:t>
      </w:r>
      <w:proofErr w:type="gramStart"/>
      <w:r w:rsidRPr="0092495D">
        <w:rPr>
          <w:rFonts w:ascii="Arial" w:hAnsi="Arial" w:cs="Arial"/>
          <w:sz w:val="24"/>
          <w:szCs w:val="24"/>
        </w:rPr>
        <w:t>is provided</w:t>
      </w:r>
      <w:proofErr w:type="gramEnd"/>
      <w:r w:rsidRPr="0092495D">
        <w:rPr>
          <w:rFonts w:ascii="Arial" w:hAnsi="Arial" w:cs="Arial"/>
          <w:sz w:val="24"/>
          <w:szCs w:val="24"/>
        </w:rPr>
        <w:t xml:space="preserve"> separately and can be accessed alongside this consultation at: </w:t>
      </w:r>
      <w:hyperlink r:id="rId7" w:history="1">
        <w:r w:rsidRPr="0092495D">
          <w:rPr>
            <w:rFonts w:ascii="Arial" w:hAnsi="Arial" w:cs="Arial"/>
            <w:color w:val="0000FF"/>
            <w:sz w:val="24"/>
            <w:szCs w:val="24"/>
            <w:u w:val="single"/>
          </w:rPr>
          <w:t xml:space="preserve">Consultations </w:t>
        </w:r>
        <w:r w:rsidRPr="0092495D">
          <w:rPr>
            <w:rFonts w:ascii="Arial" w:hAnsi="Arial" w:cs="Arial"/>
            <w:color w:val="0000FF"/>
            <w:sz w:val="24"/>
            <w:szCs w:val="24"/>
            <w:u w:val="single"/>
          </w:rPr>
          <w:t>|</w:t>
        </w:r>
        <w:r w:rsidRPr="0092495D">
          <w:rPr>
            <w:rFonts w:ascii="Arial" w:hAnsi="Arial" w:cs="Arial"/>
            <w:color w:val="0000FF"/>
            <w:sz w:val="24"/>
            <w:szCs w:val="24"/>
            <w:u w:val="single"/>
          </w:rPr>
          <w:t xml:space="preserve"> Department of Health (health-ni.gov.uk)</w:t>
        </w:r>
      </w:hyperlink>
    </w:p>
    <w:p w14:paraId="54178748" w14:textId="77777777" w:rsidR="0092495D" w:rsidRPr="0092495D" w:rsidRDefault="0092495D" w:rsidP="0092495D">
      <w:pPr>
        <w:pStyle w:val="ListParagraph"/>
        <w:tabs>
          <w:tab w:val="left" w:pos="426"/>
        </w:tabs>
        <w:spacing w:line="240" w:lineRule="auto"/>
        <w:ind w:left="0"/>
        <w:rPr>
          <w:rFonts w:ascii="Arial" w:hAnsi="Arial" w:cs="Arial"/>
          <w:color w:val="0000FF"/>
          <w:sz w:val="24"/>
          <w:szCs w:val="24"/>
          <w:u w:val="single"/>
          <w:lang w:eastAsia="en-GB"/>
        </w:rPr>
      </w:pPr>
    </w:p>
    <w:p w14:paraId="25ADC27B" w14:textId="77777777" w:rsidR="0092495D" w:rsidRPr="0092495D" w:rsidRDefault="0092495D" w:rsidP="0092495D">
      <w:pPr>
        <w:pStyle w:val="ListParagraph"/>
        <w:tabs>
          <w:tab w:val="left" w:pos="426"/>
        </w:tabs>
        <w:spacing w:line="240" w:lineRule="auto"/>
        <w:ind w:left="0"/>
        <w:rPr>
          <w:rFonts w:ascii="Arial" w:hAnsi="Arial" w:cs="Arial"/>
          <w:sz w:val="24"/>
          <w:szCs w:val="24"/>
        </w:rPr>
      </w:pPr>
      <w:r w:rsidRPr="0092495D">
        <w:rPr>
          <w:rFonts w:ascii="Arial" w:hAnsi="Arial" w:cs="Arial"/>
          <w:sz w:val="24"/>
          <w:szCs w:val="24"/>
        </w:rPr>
        <w:t xml:space="preserve">Responses </w:t>
      </w:r>
      <w:proofErr w:type="gramStart"/>
      <w:r w:rsidRPr="0092495D">
        <w:rPr>
          <w:rFonts w:ascii="Arial" w:hAnsi="Arial" w:cs="Arial"/>
          <w:sz w:val="24"/>
          <w:szCs w:val="24"/>
        </w:rPr>
        <w:t>can be sent</w:t>
      </w:r>
      <w:proofErr w:type="gramEnd"/>
      <w:r w:rsidRPr="0092495D">
        <w:rPr>
          <w:rFonts w:ascii="Arial" w:hAnsi="Arial" w:cs="Arial"/>
          <w:sz w:val="24"/>
          <w:szCs w:val="24"/>
        </w:rPr>
        <w:t xml:space="preserve"> by email to: </w:t>
      </w:r>
      <w:hyperlink r:id="rId8" w:history="1">
        <w:r w:rsidRPr="0092495D">
          <w:rPr>
            <w:rStyle w:val="Hyperlink"/>
            <w:rFonts w:ascii="Arial" w:hAnsi="Arial" w:cs="Arial"/>
            <w:sz w:val="24"/>
            <w:szCs w:val="24"/>
          </w:rPr>
          <w:t>Pharma</w:t>
        </w:r>
        <w:r w:rsidRPr="0092495D">
          <w:rPr>
            <w:rStyle w:val="Hyperlink"/>
            <w:rFonts w:ascii="Arial" w:hAnsi="Arial" w:cs="Arial"/>
            <w:sz w:val="24"/>
            <w:szCs w:val="24"/>
          </w:rPr>
          <w:t>c</w:t>
        </w:r>
        <w:r w:rsidRPr="0092495D">
          <w:rPr>
            <w:rStyle w:val="Hyperlink"/>
            <w:rFonts w:ascii="Arial" w:hAnsi="Arial" w:cs="Arial"/>
            <w:sz w:val="24"/>
            <w:szCs w:val="24"/>
          </w:rPr>
          <w:t>yconsultations@health-ni.gov.uk</w:t>
        </w:r>
      </w:hyperlink>
    </w:p>
    <w:p w14:paraId="160A9CB0" w14:textId="77777777" w:rsidR="0092495D" w:rsidRPr="0092495D" w:rsidRDefault="0092495D" w:rsidP="0092495D">
      <w:pPr>
        <w:pStyle w:val="ListParagraph"/>
        <w:tabs>
          <w:tab w:val="left" w:pos="426"/>
        </w:tabs>
        <w:spacing w:line="360" w:lineRule="auto"/>
        <w:ind w:left="0"/>
        <w:rPr>
          <w:rFonts w:ascii="Arial" w:hAnsi="Arial" w:cs="Arial"/>
          <w:sz w:val="24"/>
          <w:szCs w:val="24"/>
        </w:rPr>
      </w:pPr>
    </w:p>
    <w:p w14:paraId="3029C1AA" w14:textId="77777777" w:rsidR="0092495D" w:rsidRPr="0092495D" w:rsidRDefault="0092495D" w:rsidP="0092495D">
      <w:pPr>
        <w:pStyle w:val="ListParagraph"/>
        <w:tabs>
          <w:tab w:val="left" w:pos="426"/>
        </w:tabs>
        <w:spacing w:line="360" w:lineRule="auto"/>
        <w:ind w:left="0"/>
        <w:rPr>
          <w:rFonts w:ascii="Arial" w:hAnsi="Arial" w:cs="Arial"/>
          <w:b/>
          <w:sz w:val="24"/>
          <w:szCs w:val="24"/>
        </w:rPr>
      </w:pPr>
      <w:r w:rsidRPr="0092495D">
        <w:rPr>
          <w:rFonts w:ascii="Arial" w:hAnsi="Arial" w:cs="Arial"/>
          <w:b/>
          <w:sz w:val="24"/>
          <w:szCs w:val="24"/>
        </w:rPr>
        <w:t>The deadline for consultation responses is 5.00 pm on 14</w:t>
      </w:r>
      <w:r w:rsidRPr="0092495D">
        <w:rPr>
          <w:rFonts w:ascii="Arial" w:hAnsi="Arial" w:cs="Arial"/>
          <w:b/>
          <w:sz w:val="24"/>
          <w:szCs w:val="24"/>
          <w:vertAlign w:val="superscript"/>
        </w:rPr>
        <w:t>th</w:t>
      </w:r>
      <w:r w:rsidRPr="0092495D">
        <w:rPr>
          <w:rFonts w:ascii="Arial" w:hAnsi="Arial" w:cs="Arial"/>
          <w:b/>
          <w:sz w:val="24"/>
          <w:szCs w:val="24"/>
        </w:rPr>
        <w:t xml:space="preserve"> January 2022</w:t>
      </w:r>
    </w:p>
    <w:p w14:paraId="4CF7534D" w14:textId="77777777" w:rsidR="0092495D" w:rsidRPr="0092495D" w:rsidRDefault="0092495D" w:rsidP="0092495D">
      <w:pPr>
        <w:pStyle w:val="ListParagraph"/>
        <w:tabs>
          <w:tab w:val="left" w:pos="426"/>
        </w:tabs>
        <w:spacing w:line="360" w:lineRule="auto"/>
        <w:ind w:left="0"/>
        <w:rPr>
          <w:rFonts w:ascii="Arial" w:hAnsi="Arial" w:cs="Arial"/>
          <w:b/>
          <w:sz w:val="24"/>
          <w:szCs w:val="24"/>
        </w:rPr>
      </w:pPr>
    </w:p>
    <w:p w14:paraId="474381D2" w14:textId="77777777" w:rsidR="0092495D" w:rsidRPr="0092495D" w:rsidRDefault="0092495D" w:rsidP="0092495D">
      <w:pPr>
        <w:pStyle w:val="ListParagraph"/>
        <w:tabs>
          <w:tab w:val="left" w:pos="426"/>
        </w:tabs>
        <w:spacing w:line="360" w:lineRule="auto"/>
        <w:ind w:left="0"/>
        <w:rPr>
          <w:rFonts w:ascii="Arial" w:hAnsi="Arial" w:cs="Arial"/>
          <w:b/>
          <w:sz w:val="24"/>
          <w:szCs w:val="24"/>
          <w:u w:val="single"/>
        </w:rPr>
      </w:pPr>
      <w:r w:rsidRPr="0092495D">
        <w:rPr>
          <w:rFonts w:ascii="Arial" w:hAnsi="Arial" w:cs="Arial"/>
          <w:b/>
          <w:sz w:val="24"/>
          <w:szCs w:val="24"/>
        </w:rPr>
        <w:br w:type="page"/>
      </w:r>
    </w:p>
    <w:p w14:paraId="03D82EC2" w14:textId="77777777" w:rsidR="0092495D" w:rsidRPr="0092495D" w:rsidRDefault="0092495D" w:rsidP="0092495D">
      <w:pPr>
        <w:pStyle w:val="ListParagraph"/>
        <w:tabs>
          <w:tab w:val="left" w:pos="426"/>
        </w:tabs>
        <w:spacing w:line="360" w:lineRule="auto"/>
        <w:ind w:left="0"/>
        <w:jc w:val="right"/>
        <w:rPr>
          <w:rFonts w:ascii="Arial" w:hAnsi="Arial" w:cs="Arial"/>
          <w:b/>
          <w:sz w:val="24"/>
          <w:szCs w:val="24"/>
          <w:u w:val="single"/>
        </w:rPr>
      </w:pPr>
      <w:r w:rsidRPr="0092495D">
        <w:rPr>
          <w:rFonts w:ascii="Arial" w:hAnsi="Arial" w:cs="Arial"/>
          <w:b/>
          <w:sz w:val="24"/>
          <w:szCs w:val="24"/>
          <w:u w:val="single"/>
        </w:rPr>
        <w:lastRenderedPageBreak/>
        <w:t>Annex A</w:t>
      </w:r>
    </w:p>
    <w:p w14:paraId="1786774F" w14:textId="77777777" w:rsidR="0092495D" w:rsidRPr="0092495D" w:rsidRDefault="0092495D" w:rsidP="0092495D">
      <w:pPr>
        <w:pStyle w:val="ListParagraph"/>
        <w:tabs>
          <w:tab w:val="left" w:pos="426"/>
        </w:tabs>
        <w:spacing w:line="240" w:lineRule="auto"/>
        <w:ind w:left="0"/>
        <w:rPr>
          <w:rFonts w:ascii="Arial" w:hAnsi="Arial" w:cs="Arial"/>
          <w:b/>
          <w:sz w:val="24"/>
          <w:szCs w:val="24"/>
        </w:rPr>
      </w:pPr>
      <w:r w:rsidRPr="0092495D">
        <w:rPr>
          <w:rFonts w:ascii="Arial" w:hAnsi="Arial" w:cs="Arial"/>
          <w:b/>
          <w:sz w:val="24"/>
          <w:szCs w:val="24"/>
        </w:rPr>
        <w:t>Legislative basis for the Consultation and the assessment of the matters set out in section 2 of the Medicines and Medical Devices Act 2021</w:t>
      </w:r>
    </w:p>
    <w:p w14:paraId="1C9BD955" w14:textId="77777777" w:rsidR="0092495D" w:rsidRPr="0092495D" w:rsidRDefault="0092495D" w:rsidP="0092495D">
      <w:pPr>
        <w:pStyle w:val="ListParagraph"/>
        <w:tabs>
          <w:tab w:val="left" w:pos="426"/>
        </w:tabs>
        <w:spacing w:line="360" w:lineRule="auto"/>
        <w:ind w:left="0"/>
        <w:rPr>
          <w:rFonts w:ascii="Arial" w:hAnsi="Arial" w:cs="Arial"/>
          <w:sz w:val="24"/>
          <w:szCs w:val="24"/>
        </w:rPr>
      </w:pPr>
    </w:p>
    <w:p w14:paraId="21ED5E3C" w14:textId="77777777" w:rsidR="0092495D" w:rsidRPr="0092495D" w:rsidRDefault="0092495D" w:rsidP="0092495D">
      <w:pPr>
        <w:pStyle w:val="ListParagraph"/>
        <w:tabs>
          <w:tab w:val="left" w:pos="426"/>
        </w:tabs>
        <w:ind w:left="0"/>
        <w:rPr>
          <w:rFonts w:ascii="Arial" w:hAnsi="Arial" w:cs="Arial"/>
          <w:sz w:val="24"/>
          <w:szCs w:val="24"/>
        </w:rPr>
      </w:pPr>
      <w:r w:rsidRPr="0092495D">
        <w:rPr>
          <w:rFonts w:ascii="Arial" w:hAnsi="Arial" w:cs="Arial"/>
          <w:sz w:val="24"/>
          <w:szCs w:val="24"/>
        </w:rPr>
        <w:t>The Medicines and Medical Devices Act 2021 (‘the Act’) received Royal Assent on 11</w:t>
      </w:r>
      <w:r w:rsidRPr="0092495D">
        <w:rPr>
          <w:rFonts w:ascii="Arial" w:hAnsi="Arial" w:cs="Arial"/>
          <w:sz w:val="24"/>
          <w:szCs w:val="24"/>
          <w:vertAlign w:val="superscript"/>
        </w:rPr>
        <w:t>th</w:t>
      </w:r>
      <w:r w:rsidRPr="0092495D">
        <w:rPr>
          <w:rFonts w:ascii="Arial" w:hAnsi="Arial" w:cs="Arial"/>
          <w:sz w:val="24"/>
          <w:szCs w:val="24"/>
        </w:rPr>
        <w:t xml:space="preserve"> February 2021. We propose to make the legislative changes under consultation in this document, under Part 2 of the Act, which provides powers to make regulations about human medicines.</w:t>
      </w:r>
    </w:p>
    <w:p w14:paraId="2A44DACC" w14:textId="77777777" w:rsidR="0092495D" w:rsidRPr="0092495D" w:rsidRDefault="0092495D" w:rsidP="0092495D">
      <w:pPr>
        <w:pStyle w:val="ListParagraph"/>
        <w:tabs>
          <w:tab w:val="left" w:pos="426"/>
        </w:tabs>
        <w:ind w:left="0"/>
        <w:rPr>
          <w:rFonts w:ascii="Arial" w:hAnsi="Arial" w:cs="Arial"/>
          <w:sz w:val="24"/>
          <w:szCs w:val="24"/>
        </w:rPr>
      </w:pPr>
      <w:r w:rsidRPr="0092495D">
        <w:rPr>
          <w:rFonts w:ascii="Arial" w:hAnsi="Arial" w:cs="Arial"/>
          <w:sz w:val="24"/>
          <w:szCs w:val="24"/>
        </w:rPr>
        <w:t xml:space="preserve"> </w:t>
      </w:r>
    </w:p>
    <w:p w14:paraId="2E8A8406" w14:textId="77777777" w:rsidR="0092495D" w:rsidRPr="0092495D" w:rsidRDefault="0092495D" w:rsidP="0092495D">
      <w:pPr>
        <w:pStyle w:val="ListParagraph"/>
        <w:tabs>
          <w:tab w:val="left" w:pos="426"/>
        </w:tabs>
        <w:ind w:left="0"/>
        <w:rPr>
          <w:rFonts w:ascii="Arial" w:hAnsi="Arial" w:cs="Arial"/>
          <w:sz w:val="24"/>
          <w:szCs w:val="24"/>
        </w:rPr>
      </w:pPr>
      <w:r w:rsidRPr="0092495D">
        <w:rPr>
          <w:rFonts w:ascii="Arial" w:hAnsi="Arial" w:cs="Arial"/>
          <w:sz w:val="24"/>
          <w:szCs w:val="24"/>
        </w:rPr>
        <w:t xml:space="preserve">This consultation </w:t>
      </w:r>
      <w:proofErr w:type="gramStart"/>
      <w:r w:rsidRPr="0092495D">
        <w:rPr>
          <w:rFonts w:ascii="Arial" w:hAnsi="Arial" w:cs="Arial"/>
          <w:sz w:val="24"/>
          <w:szCs w:val="24"/>
        </w:rPr>
        <w:t>is conducted</w:t>
      </w:r>
      <w:proofErr w:type="gramEnd"/>
      <w:r w:rsidRPr="0092495D">
        <w:rPr>
          <w:rFonts w:ascii="Arial" w:hAnsi="Arial" w:cs="Arial"/>
          <w:sz w:val="24"/>
          <w:szCs w:val="24"/>
        </w:rPr>
        <w:t xml:space="preserve"> in line with the consultation requirement in section 45(1) of the Act.</w:t>
      </w:r>
    </w:p>
    <w:p w14:paraId="12F7B1B3" w14:textId="77777777" w:rsidR="0092495D" w:rsidRPr="0092495D" w:rsidRDefault="0092495D" w:rsidP="0092495D">
      <w:pPr>
        <w:pStyle w:val="ListParagraph"/>
        <w:tabs>
          <w:tab w:val="left" w:pos="426"/>
        </w:tabs>
        <w:ind w:left="0"/>
        <w:rPr>
          <w:rFonts w:ascii="Arial" w:hAnsi="Arial" w:cs="Arial"/>
          <w:sz w:val="24"/>
          <w:szCs w:val="24"/>
        </w:rPr>
      </w:pPr>
    </w:p>
    <w:p w14:paraId="4368D97F" w14:textId="77777777" w:rsidR="0092495D" w:rsidRPr="0092495D" w:rsidRDefault="0092495D" w:rsidP="0092495D">
      <w:pPr>
        <w:pStyle w:val="ListParagraph"/>
        <w:tabs>
          <w:tab w:val="left" w:pos="426"/>
        </w:tabs>
        <w:ind w:left="0"/>
        <w:rPr>
          <w:rFonts w:ascii="Arial" w:hAnsi="Arial" w:cs="Arial"/>
          <w:sz w:val="24"/>
          <w:szCs w:val="24"/>
        </w:rPr>
      </w:pPr>
      <w:r w:rsidRPr="0092495D">
        <w:rPr>
          <w:rFonts w:ascii="Arial" w:hAnsi="Arial" w:cs="Arial"/>
          <w:sz w:val="24"/>
          <w:szCs w:val="24"/>
        </w:rPr>
        <w:t xml:space="preserve">Section </w:t>
      </w:r>
      <w:proofErr w:type="gramStart"/>
      <w:r w:rsidRPr="0092495D">
        <w:rPr>
          <w:rFonts w:ascii="Arial" w:hAnsi="Arial" w:cs="Arial"/>
          <w:sz w:val="24"/>
          <w:szCs w:val="24"/>
        </w:rPr>
        <w:t>2</w:t>
      </w:r>
      <w:proofErr w:type="gramEnd"/>
      <w:r w:rsidRPr="0092495D">
        <w:rPr>
          <w:rFonts w:ascii="Arial" w:hAnsi="Arial" w:cs="Arial"/>
          <w:sz w:val="24"/>
          <w:szCs w:val="24"/>
        </w:rPr>
        <w:t xml:space="preserve"> of the Act states that patient safety must be the overarching objective of the appropriate authority when making regulations. Section 2 requires that when assessing whether regulations would contribute to the objective of safeguarding public health, the appropriate authority must have regard to three factors:</w:t>
      </w:r>
    </w:p>
    <w:p w14:paraId="286CC331" w14:textId="77777777" w:rsidR="0092495D" w:rsidRPr="0092495D" w:rsidRDefault="0092495D" w:rsidP="0092495D">
      <w:pPr>
        <w:pStyle w:val="ListParagraph"/>
        <w:tabs>
          <w:tab w:val="left" w:pos="426"/>
        </w:tabs>
        <w:ind w:left="0"/>
        <w:rPr>
          <w:rFonts w:ascii="Arial" w:hAnsi="Arial" w:cs="Arial"/>
          <w:sz w:val="24"/>
          <w:szCs w:val="24"/>
        </w:rPr>
      </w:pPr>
    </w:p>
    <w:p w14:paraId="6F88F169" w14:textId="77777777" w:rsidR="0092495D" w:rsidRPr="0092495D" w:rsidRDefault="0092495D" w:rsidP="0092495D">
      <w:pPr>
        <w:pStyle w:val="ListParagraph"/>
        <w:numPr>
          <w:ilvl w:val="0"/>
          <w:numId w:val="31"/>
        </w:numPr>
        <w:tabs>
          <w:tab w:val="left" w:pos="426"/>
        </w:tabs>
        <w:spacing w:after="0" w:line="360" w:lineRule="auto"/>
        <w:ind w:left="360"/>
        <w:contextualSpacing w:val="0"/>
        <w:rPr>
          <w:rFonts w:ascii="Arial" w:hAnsi="Arial" w:cs="Arial"/>
          <w:sz w:val="24"/>
          <w:szCs w:val="24"/>
        </w:rPr>
      </w:pPr>
      <w:r w:rsidRPr="0092495D">
        <w:rPr>
          <w:rFonts w:ascii="Arial" w:hAnsi="Arial" w:cs="Arial"/>
          <w:sz w:val="24"/>
          <w:szCs w:val="24"/>
        </w:rPr>
        <w:t xml:space="preserve"> The safety of human medicines</w:t>
      </w:r>
    </w:p>
    <w:p w14:paraId="73A23557" w14:textId="77777777" w:rsidR="0092495D" w:rsidRPr="0092495D" w:rsidRDefault="0092495D" w:rsidP="0092495D">
      <w:pPr>
        <w:pStyle w:val="ListParagraph"/>
        <w:numPr>
          <w:ilvl w:val="0"/>
          <w:numId w:val="31"/>
        </w:numPr>
        <w:tabs>
          <w:tab w:val="left" w:pos="426"/>
        </w:tabs>
        <w:spacing w:after="0" w:line="360" w:lineRule="auto"/>
        <w:ind w:left="360"/>
        <w:contextualSpacing w:val="0"/>
        <w:rPr>
          <w:rFonts w:ascii="Arial" w:hAnsi="Arial" w:cs="Arial"/>
          <w:sz w:val="24"/>
          <w:szCs w:val="24"/>
        </w:rPr>
      </w:pPr>
      <w:r w:rsidRPr="0092495D">
        <w:rPr>
          <w:rFonts w:ascii="Arial" w:hAnsi="Arial" w:cs="Arial"/>
          <w:sz w:val="24"/>
          <w:szCs w:val="24"/>
        </w:rPr>
        <w:t>The availability of human medicines</w:t>
      </w:r>
    </w:p>
    <w:p w14:paraId="30E52F89" w14:textId="77777777" w:rsidR="0092495D" w:rsidRPr="0092495D" w:rsidRDefault="0092495D" w:rsidP="0092495D">
      <w:pPr>
        <w:pStyle w:val="ListParagraph"/>
        <w:numPr>
          <w:ilvl w:val="0"/>
          <w:numId w:val="31"/>
        </w:numPr>
        <w:tabs>
          <w:tab w:val="left" w:pos="426"/>
        </w:tabs>
        <w:spacing w:after="0" w:line="360" w:lineRule="auto"/>
        <w:ind w:left="360"/>
        <w:contextualSpacing w:val="0"/>
        <w:rPr>
          <w:rFonts w:ascii="Arial" w:hAnsi="Arial" w:cs="Arial"/>
          <w:sz w:val="24"/>
          <w:szCs w:val="24"/>
        </w:rPr>
      </w:pPr>
      <w:r w:rsidRPr="0092495D">
        <w:rPr>
          <w:rFonts w:ascii="Arial" w:hAnsi="Arial" w:cs="Arial"/>
          <w:sz w:val="24"/>
          <w:szCs w:val="24"/>
        </w:rPr>
        <w:t xml:space="preserve">The likelihood of the relevant part of the United Kingdom being seen as a favourable place which to – </w:t>
      </w:r>
    </w:p>
    <w:p w14:paraId="635D6805" w14:textId="77777777" w:rsidR="0092495D" w:rsidRPr="0092495D" w:rsidRDefault="0092495D" w:rsidP="0092495D">
      <w:pPr>
        <w:pStyle w:val="ListParagraph"/>
        <w:numPr>
          <w:ilvl w:val="0"/>
          <w:numId w:val="32"/>
        </w:numPr>
        <w:tabs>
          <w:tab w:val="left" w:pos="426"/>
        </w:tabs>
        <w:spacing w:after="0" w:line="360" w:lineRule="auto"/>
        <w:ind w:left="1734"/>
        <w:contextualSpacing w:val="0"/>
        <w:rPr>
          <w:rFonts w:ascii="Arial" w:hAnsi="Arial" w:cs="Arial"/>
          <w:sz w:val="24"/>
          <w:szCs w:val="24"/>
        </w:rPr>
      </w:pPr>
      <w:r w:rsidRPr="0092495D">
        <w:rPr>
          <w:rFonts w:ascii="Arial" w:hAnsi="Arial" w:cs="Arial"/>
          <w:sz w:val="24"/>
          <w:szCs w:val="24"/>
        </w:rPr>
        <w:t>Carry out research relating to human medicines</w:t>
      </w:r>
    </w:p>
    <w:p w14:paraId="116C6C13" w14:textId="77777777" w:rsidR="0092495D" w:rsidRPr="0092495D" w:rsidRDefault="0092495D" w:rsidP="0092495D">
      <w:pPr>
        <w:pStyle w:val="ListParagraph"/>
        <w:numPr>
          <w:ilvl w:val="0"/>
          <w:numId w:val="32"/>
        </w:numPr>
        <w:tabs>
          <w:tab w:val="left" w:pos="426"/>
        </w:tabs>
        <w:spacing w:after="0" w:line="360" w:lineRule="auto"/>
        <w:ind w:left="1734"/>
        <w:contextualSpacing w:val="0"/>
        <w:rPr>
          <w:rFonts w:ascii="Arial" w:hAnsi="Arial" w:cs="Arial"/>
          <w:sz w:val="24"/>
          <w:szCs w:val="24"/>
        </w:rPr>
      </w:pPr>
      <w:r w:rsidRPr="0092495D">
        <w:rPr>
          <w:rFonts w:ascii="Arial" w:hAnsi="Arial" w:cs="Arial"/>
          <w:sz w:val="24"/>
          <w:szCs w:val="24"/>
        </w:rPr>
        <w:t>Conduct clinical trials, or</w:t>
      </w:r>
    </w:p>
    <w:p w14:paraId="077AC9BB" w14:textId="77777777" w:rsidR="0092495D" w:rsidRPr="0092495D" w:rsidRDefault="0092495D" w:rsidP="0092495D">
      <w:pPr>
        <w:pStyle w:val="ListParagraph"/>
        <w:numPr>
          <w:ilvl w:val="0"/>
          <w:numId w:val="32"/>
        </w:numPr>
        <w:tabs>
          <w:tab w:val="left" w:pos="426"/>
        </w:tabs>
        <w:spacing w:after="0" w:line="360" w:lineRule="auto"/>
        <w:ind w:left="1734"/>
        <w:contextualSpacing w:val="0"/>
        <w:rPr>
          <w:rFonts w:ascii="Arial" w:hAnsi="Arial" w:cs="Arial"/>
          <w:sz w:val="24"/>
          <w:szCs w:val="24"/>
        </w:rPr>
      </w:pPr>
      <w:r w:rsidRPr="0092495D">
        <w:rPr>
          <w:rFonts w:ascii="Arial" w:hAnsi="Arial" w:cs="Arial"/>
          <w:sz w:val="24"/>
          <w:szCs w:val="24"/>
        </w:rPr>
        <w:t>Manufacture or supply human medicines.</w:t>
      </w:r>
    </w:p>
    <w:p w14:paraId="0C99C096" w14:textId="77777777" w:rsidR="0092495D" w:rsidRPr="0092495D" w:rsidRDefault="0092495D" w:rsidP="0092495D">
      <w:pPr>
        <w:pStyle w:val="ListParagraph"/>
        <w:tabs>
          <w:tab w:val="left" w:pos="426"/>
        </w:tabs>
        <w:spacing w:line="360" w:lineRule="auto"/>
        <w:ind w:left="0"/>
        <w:rPr>
          <w:rFonts w:ascii="Arial" w:hAnsi="Arial" w:cs="Arial"/>
          <w:sz w:val="24"/>
          <w:szCs w:val="24"/>
        </w:rPr>
      </w:pPr>
    </w:p>
    <w:p w14:paraId="017DF012" w14:textId="77777777" w:rsidR="0092495D" w:rsidRPr="0092495D" w:rsidRDefault="0092495D" w:rsidP="0092495D">
      <w:pPr>
        <w:pStyle w:val="ListParagraph"/>
        <w:tabs>
          <w:tab w:val="left" w:pos="426"/>
        </w:tabs>
        <w:spacing w:line="360" w:lineRule="auto"/>
        <w:ind w:left="0"/>
        <w:rPr>
          <w:rFonts w:ascii="Arial" w:hAnsi="Arial" w:cs="Arial"/>
          <w:sz w:val="24"/>
          <w:szCs w:val="24"/>
        </w:rPr>
      </w:pPr>
      <w:r w:rsidRPr="0092495D">
        <w:rPr>
          <w:rFonts w:ascii="Arial" w:hAnsi="Arial" w:cs="Arial"/>
          <w:sz w:val="24"/>
          <w:szCs w:val="24"/>
        </w:rPr>
        <w:t xml:space="preserve">We have assessed the proposals against each of these factors, outlined below. </w:t>
      </w:r>
    </w:p>
    <w:p w14:paraId="576F9125" w14:textId="77777777" w:rsidR="0092495D" w:rsidRPr="0092495D" w:rsidRDefault="0092495D" w:rsidP="0092495D">
      <w:pPr>
        <w:pStyle w:val="ListParagraph"/>
        <w:tabs>
          <w:tab w:val="left" w:pos="426"/>
        </w:tabs>
        <w:spacing w:line="360" w:lineRule="auto"/>
        <w:ind w:left="0"/>
        <w:rPr>
          <w:rFonts w:ascii="Arial" w:hAnsi="Arial" w:cs="Arial"/>
          <w:sz w:val="24"/>
          <w:szCs w:val="24"/>
        </w:rPr>
      </w:pPr>
    </w:p>
    <w:p w14:paraId="6E201188" w14:textId="77777777" w:rsidR="0092495D" w:rsidRPr="0092495D" w:rsidRDefault="0092495D" w:rsidP="0092495D">
      <w:pPr>
        <w:pStyle w:val="ListParagraph"/>
        <w:numPr>
          <w:ilvl w:val="0"/>
          <w:numId w:val="33"/>
        </w:numPr>
        <w:tabs>
          <w:tab w:val="left" w:pos="426"/>
        </w:tabs>
        <w:spacing w:after="0" w:line="360" w:lineRule="auto"/>
        <w:ind w:left="294"/>
        <w:contextualSpacing w:val="0"/>
        <w:rPr>
          <w:rFonts w:ascii="Arial" w:hAnsi="Arial" w:cs="Arial"/>
          <w:b/>
          <w:bCs/>
          <w:sz w:val="24"/>
          <w:szCs w:val="24"/>
        </w:rPr>
      </w:pPr>
      <w:r w:rsidRPr="0092495D">
        <w:rPr>
          <w:rFonts w:ascii="Arial" w:hAnsi="Arial" w:cs="Arial"/>
          <w:b/>
          <w:bCs/>
          <w:sz w:val="24"/>
          <w:szCs w:val="24"/>
        </w:rPr>
        <w:t>Patient safety: how does this consider patient safety?</w:t>
      </w:r>
    </w:p>
    <w:p w14:paraId="5F4D7295" w14:textId="77777777" w:rsidR="0092495D" w:rsidRPr="0092495D" w:rsidRDefault="0092495D" w:rsidP="0092495D">
      <w:pPr>
        <w:pStyle w:val="ListParagraph"/>
        <w:tabs>
          <w:tab w:val="left" w:pos="426"/>
        </w:tabs>
        <w:ind w:left="0"/>
        <w:rPr>
          <w:rFonts w:ascii="Arial" w:hAnsi="Arial" w:cs="Arial"/>
          <w:sz w:val="24"/>
          <w:szCs w:val="24"/>
        </w:rPr>
      </w:pPr>
      <w:r w:rsidRPr="0092495D">
        <w:rPr>
          <w:rFonts w:ascii="Arial" w:hAnsi="Arial" w:cs="Arial"/>
          <w:sz w:val="24"/>
          <w:szCs w:val="24"/>
        </w:rPr>
        <w:t xml:space="preserve">These proposed changes are to maintain continuity in terms of provision of these medicines.  We therefore do not consider there to be an impact on patient safety from the changes.  </w:t>
      </w:r>
    </w:p>
    <w:p w14:paraId="3931B8CA" w14:textId="77777777" w:rsidR="0092495D" w:rsidRPr="0092495D" w:rsidRDefault="0092495D" w:rsidP="0092495D">
      <w:pPr>
        <w:pStyle w:val="ListParagraph"/>
        <w:tabs>
          <w:tab w:val="left" w:pos="426"/>
        </w:tabs>
        <w:ind w:left="0"/>
        <w:rPr>
          <w:rFonts w:ascii="Arial" w:hAnsi="Arial" w:cs="Arial"/>
          <w:sz w:val="24"/>
          <w:szCs w:val="24"/>
        </w:rPr>
      </w:pPr>
    </w:p>
    <w:p w14:paraId="438ADE1F" w14:textId="77777777" w:rsidR="0092495D" w:rsidRPr="0092495D" w:rsidRDefault="0092495D" w:rsidP="0092495D">
      <w:pPr>
        <w:pStyle w:val="ListParagraph"/>
        <w:numPr>
          <w:ilvl w:val="0"/>
          <w:numId w:val="33"/>
        </w:numPr>
        <w:tabs>
          <w:tab w:val="left" w:pos="426"/>
        </w:tabs>
        <w:spacing w:after="0" w:line="360" w:lineRule="auto"/>
        <w:ind w:left="294"/>
        <w:contextualSpacing w:val="0"/>
        <w:rPr>
          <w:rFonts w:ascii="Arial" w:hAnsi="Arial" w:cs="Arial"/>
          <w:b/>
          <w:bCs/>
          <w:sz w:val="24"/>
          <w:szCs w:val="24"/>
        </w:rPr>
      </w:pPr>
      <w:r w:rsidRPr="0092495D">
        <w:rPr>
          <w:rFonts w:ascii="Arial" w:hAnsi="Arial" w:cs="Arial"/>
          <w:b/>
          <w:bCs/>
          <w:sz w:val="24"/>
          <w:szCs w:val="24"/>
        </w:rPr>
        <w:t>Availability</w:t>
      </w:r>
    </w:p>
    <w:p w14:paraId="417822B4" w14:textId="77777777" w:rsidR="0092495D" w:rsidRPr="0092495D" w:rsidRDefault="0092495D" w:rsidP="0092495D">
      <w:pPr>
        <w:pStyle w:val="ListParagraph"/>
        <w:tabs>
          <w:tab w:val="left" w:pos="426"/>
        </w:tabs>
        <w:ind w:left="0"/>
        <w:rPr>
          <w:rFonts w:ascii="Arial" w:hAnsi="Arial" w:cs="Arial"/>
          <w:sz w:val="24"/>
          <w:szCs w:val="24"/>
        </w:rPr>
      </w:pPr>
      <w:r w:rsidRPr="0092495D">
        <w:rPr>
          <w:rFonts w:ascii="Arial" w:hAnsi="Arial" w:cs="Arial"/>
          <w:sz w:val="24"/>
          <w:szCs w:val="24"/>
        </w:rPr>
        <w:t xml:space="preserve">These proposed changes aim to maintain continuity in terms of access of medicines supplied using PGDs. These changes would mean medicines </w:t>
      </w:r>
      <w:proofErr w:type="gramStart"/>
      <w:r w:rsidRPr="0092495D">
        <w:rPr>
          <w:rFonts w:ascii="Arial" w:hAnsi="Arial" w:cs="Arial"/>
          <w:sz w:val="24"/>
          <w:szCs w:val="24"/>
        </w:rPr>
        <w:t>can</w:t>
      </w:r>
      <w:proofErr w:type="gramEnd"/>
      <w:r w:rsidRPr="0092495D">
        <w:rPr>
          <w:rFonts w:ascii="Arial" w:hAnsi="Arial" w:cs="Arial"/>
          <w:sz w:val="24"/>
          <w:szCs w:val="24"/>
        </w:rPr>
        <w:t xml:space="preserve"> continue to be available without patients being negatively impacted.</w:t>
      </w:r>
    </w:p>
    <w:p w14:paraId="38D82C42" w14:textId="77777777" w:rsidR="0092495D" w:rsidRPr="0092495D" w:rsidRDefault="0092495D" w:rsidP="0092495D">
      <w:pPr>
        <w:pStyle w:val="ListParagraph"/>
        <w:tabs>
          <w:tab w:val="left" w:pos="426"/>
        </w:tabs>
        <w:spacing w:line="360" w:lineRule="auto"/>
        <w:ind w:left="0"/>
        <w:rPr>
          <w:rFonts w:ascii="Arial" w:hAnsi="Arial" w:cs="Arial"/>
          <w:b/>
          <w:bCs/>
          <w:sz w:val="24"/>
          <w:szCs w:val="24"/>
        </w:rPr>
      </w:pPr>
    </w:p>
    <w:p w14:paraId="5826A3C9" w14:textId="77777777" w:rsidR="0092495D" w:rsidRPr="0092495D" w:rsidRDefault="0092495D" w:rsidP="0092495D">
      <w:pPr>
        <w:pStyle w:val="ListParagraph"/>
        <w:numPr>
          <w:ilvl w:val="0"/>
          <w:numId w:val="33"/>
        </w:numPr>
        <w:tabs>
          <w:tab w:val="left" w:pos="426"/>
        </w:tabs>
        <w:spacing w:after="0" w:line="240" w:lineRule="auto"/>
        <w:ind w:left="294"/>
        <w:contextualSpacing w:val="0"/>
        <w:rPr>
          <w:rFonts w:ascii="Arial" w:hAnsi="Arial" w:cs="Arial"/>
          <w:b/>
          <w:bCs/>
          <w:sz w:val="24"/>
          <w:szCs w:val="24"/>
        </w:rPr>
      </w:pPr>
      <w:r w:rsidRPr="0092495D">
        <w:rPr>
          <w:rFonts w:ascii="Arial" w:hAnsi="Arial" w:cs="Arial"/>
          <w:b/>
          <w:bCs/>
          <w:sz w:val="24"/>
          <w:szCs w:val="24"/>
        </w:rPr>
        <w:t>The likelihood of the relevant part of the United Kingdom being seen as a favourable place which to Carry out research relating to human medicines, Conduct clinical trials, or Manufacture or supply human medicines</w:t>
      </w:r>
    </w:p>
    <w:p w14:paraId="5D663E9E" w14:textId="77777777" w:rsidR="0092495D" w:rsidRPr="0092495D" w:rsidRDefault="0092495D" w:rsidP="0092495D">
      <w:pPr>
        <w:pStyle w:val="ListParagraph"/>
        <w:tabs>
          <w:tab w:val="left" w:pos="426"/>
        </w:tabs>
        <w:ind w:left="0"/>
        <w:rPr>
          <w:rFonts w:ascii="Arial" w:hAnsi="Arial" w:cs="Arial"/>
          <w:sz w:val="24"/>
          <w:szCs w:val="24"/>
        </w:rPr>
      </w:pPr>
    </w:p>
    <w:p w14:paraId="367D231E" w14:textId="77777777" w:rsidR="0092495D" w:rsidRPr="0092495D" w:rsidRDefault="0092495D" w:rsidP="0092495D">
      <w:pPr>
        <w:pStyle w:val="ListParagraph"/>
        <w:tabs>
          <w:tab w:val="left" w:pos="426"/>
        </w:tabs>
        <w:ind w:left="0"/>
        <w:rPr>
          <w:rFonts w:ascii="Arial" w:hAnsi="Arial" w:cs="Arial"/>
          <w:sz w:val="24"/>
          <w:szCs w:val="24"/>
        </w:rPr>
      </w:pPr>
      <w:r w:rsidRPr="0092495D">
        <w:rPr>
          <w:rFonts w:ascii="Arial" w:hAnsi="Arial" w:cs="Arial"/>
          <w:sz w:val="24"/>
          <w:szCs w:val="24"/>
        </w:rPr>
        <w:lastRenderedPageBreak/>
        <w:t>In Northern Ireland, these proposed changes seek to maintain continuity of provision and therefore we do not expect them to negatively impact on the favourability of the UK.</w:t>
      </w:r>
    </w:p>
    <w:p w14:paraId="7BD77A18" w14:textId="77777777" w:rsidR="008F0EE1" w:rsidRPr="0092495D" w:rsidRDefault="008F0EE1" w:rsidP="0092495D">
      <w:pPr>
        <w:rPr>
          <w:rFonts w:ascii="Arial" w:hAnsi="Arial" w:cs="Arial"/>
          <w:sz w:val="24"/>
          <w:szCs w:val="24"/>
        </w:rPr>
      </w:pPr>
    </w:p>
    <w:sectPr w:rsidR="008F0EE1" w:rsidRPr="0092495D" w:rsidSect="0092495D">
      <w:headerReference w:type="default" r:id="rId9"/>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A291F" w14:textId="77777777" w:rsidR="003758E1" w:rsidRDefault="003758E1" w:rsidP="006F2DD1">
      <w:pPr>
        <w:spacing w:after="0" w:line="240" w:lineRule="auto"/>
      </w:pPr>
      <w:r>
        <w:separator/>
      </w:r>
    </w:p>
  </w:endnote>
  <w:endnote w:type="continuationSeparator" w:id="0">
    <w:p w14:paraId="2A83B0F0" w14:textId="77777777" w:rsidR="003758E1" w:rsidRDefault="003758E1" w:rsidP="006F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906"/>
      <w:docPartObj>
        <w:docPartGallery w:val="Page Numbers (Bottom of Page)"/>
        <w:docPartUnique/>
      </w:docPartObj>
    </w:sdtPr>
    <w:sdtEndPr>
      <w:rPr>
        <w:noProof/>
      </w:rPr>
    </w:sdtEndPr>
    <w:sdtContent>
      <w:p w14:paraId="7581203E" w14:textId="7E0B0A57" w:rsidR="0092495D" w:rsidRDefault="0092495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578567D" w14:textId="77777777" w:rsidR="0092495D" w:rsidRDefault="00924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BF1F0" w14:textId="77777777" w:rsidR="003758E1" w:rsidRDefault="003758E1" w:rsidP="006F2DD1">
      <w:pPr>
        <w:spacing w:after="0" w:line="240" w:lineRule="auto"/>
      </w:pPr>
      <w:r>
        <w:separator/>
      </w:r>
    </w:p>
  </w:footnote>
  <w:footnote w:type="continuationSeparator" w:id="0">
    <w:p w14:paraId="2C0DB695" w14:textId="77777777" w:rsidR="003758E1" w:rsidRDefault="003758E1" w:rsidP="006F2DD1">
      <w:pPr>
        <w:spacing w:after="0" w:line="240" w:lineRule="auto"/>
      </w:pPr>
      <w:r>
        <w:continuationSeparator/>
      </w:r>
    </w:p>
  </w:footnote>
  <w:footnote w:id="1">
    <w:p w14:paraId="79B90911" w14:textId="77777777" w:rsidR="0092495D" w:rsidRDefault="0092495D" w:rsidP="0092495D">
      <w:pPr>
        <w:pStyle w:val="FootnoteText"/>
      </w:pPr>
      <w:r>
        <w:rPr>
          <w:rStyle w:val="FootnoteReference"/>
        </w:rPr>
        <w:footnoteRef/>
      </w:r>
      <w:r>
        <w:t xml:space="preserve"> The Human Medicines Regulations 2012. Available at: </w:t>
      </w:r>
      <w:hyperlink r:id="rId1" w:history="1">
        <w:r>
          <w:rPr>
            <w:rStyle w:val="Hyperlink"/>
          </w:rPr>
          <w:t>http://www.legislation.gov.uk/uksi/2012/1916/schedule/16/made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A3BD" w14:textId="68FE35E1" w:rsidR="0092495D" w:rsidRDefault="0092495D">
    <w:pPr>
      <w:pStyle w:val="Header"/>
    </w:pPr>
    <w:r>
      <w:t>HE1/21/729115</w:t>
    </w:r>
  </w:p>
  <w:p w14:paraId="16CCDF20" w14:textId="77777777" w:rsidR="0092495D" w:rsidRDefault="00924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96E"/>
    <w:multiLevelType w:val="hybridMultilevel"/>
    <w:tmpl w:val="CF9A024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8042033"/>
    <w:multiLevelType w:val="hybridMultilevel"/>
    <w:tmpl w:val="DADA7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1F20A2"/>
    <w:multiLevelType w:val="hybridMultilevel"/>
    <w:tmpl w:val="B6E87408"/>
    <w:lvl w:ilvl="0" w:tplc="D61A428E">
      <w:start w:val="1"/>
      <w:numFmt w:val="decimal"/>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05774"/>
    <w:multiLevelType w:val="hybridMultilevel"/>
    <w:tmpl w:val="6D9C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812EE"/>
    <w:multiLevelType w:val="hybridMultilevel"/>
    <w:tmpl w:val="CC78D6E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054D4D"/>
    <w:multiLevelType w:val="hybridMultilevel"/>
    <w:tmpl w:val="0C5C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D4525"/>
    <w:multiLevelType w:val="hybridMultilevel"/>
    <w:tmpl w:val="4B02E05A"/>
    <w:lvl w:ilvl="0" w:tplc="977E25D2">
      <w:start w:val="1"/>
      <w:numFmt w:val="decimal"/>
      <w:lvlText w:val="%1."/>
      <w:lvlJc w:val="left"/>
      <w:pPr>
        <w:ind w:left="578" w:hanging="360"/>
      </w:pPr>
      <w:rPr>
        <w:b w:val="0"/>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7" w15:restartNumberingAfterBreak="0">
    <w:nsid w:val="23CF7B2C"/>
    <w:multiLevelType w:val="hybridMultilevel"/>
    <w:tmpl w:val="B6E87408"/>
    <w:lvl w:ilvl="0" w:tplc="D61A428E">
      <w:start w:val="1"/>
      <w:numFmt w:val="decimal"/>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F5D26"/>
    <w:multiLevelType w:val="hybridMultilevel"/>
    <w:tmpl w:val="B0205884"/>
    <w:lvl w:ilvl="0" w:tplc="D36EA8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305D4"/>
    <w:multiLevelType w:val="hybridMultilevel"/>
    <w:tmpl w:val="AF528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D01AE8"/>
    <w:multiLevelType w:val="hybridMultilevel"/>
    <w:tmpl w:val="BD40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D3AFA"/>
    <w:multiLevelType w:val="hybridMultilevel"/>
    <w:tmpl w:val="A774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B1B0E"/>
    <w:multiLevelType w:val="hybridMultilevel"/>
    <w:tmpl w:val="58C63452"/>
    <w:lvl w:ilvl="0" w:tplc="C56EA4F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B21B65"/>
    <w:multiLevelType w:val="hybridMultilevel"/>
    <w:tmpl w:val="EC062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9D4F08"/>
    <w:multiLevelType w:val="hybridMultilevel"/>
    <w:tmpl w:val="67E89FE0"/>
    <w:lvl w:ilvl="0" w:tplc="E49CE196">
      <w:start w:val="1"/>
      <w:numFmt w:val="lowerLetter"/>
      <w:lvlText w:val="(%1)"/>
      <w:lvlJc w:val="left"/>
      <w:pPr>
        <w:ind w:left="786"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42D825E0"/>
    <w:multiLevelType w:val="hybridMultilevel"/>
    <w:tmpl w:val="747E713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F90B88"/>
    <w:multiLevelType w:val="hybridMultilevel"/>
    <w:tmpl w:val="293EA9DC"/>
    <w:lvl w:ilvl="0" w:tplc="617C402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1C27F6"/>
    <w:multiLevelType w:val="hybridMultilevel"/>
    <w:tmpl w:val="B6E87408"/>
    <w:lvl w:ilvl="0" w:tplc="D61A428E">
      <w:start w:val="1"/>
      <w:numFmt w:val="decimal"/>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C595D"/>
    <w:multiLevelType w:val="hybridMultilevel"/>
    <w:tmpl w:val="BC7EAC22"/>
    <w:lvl w:ilvl="0" w:tplc="0809000F">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48377BC"/>
    <w:multiLevelType w:val="hybridMultilevel"/>
    <w:tmpl w:val="27183A48"/>
    <w:lvl w:ilvl="0" w:tplc="BD9A769E">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77B55A9"/>
    <w:multiLevelType w:val="hybridMultilevel"/>
    <w:tmpl w:val="F91E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C7E61"/>
    <w:multiLevelType w:val="hybridMultilevel"/>
    <w:tmpl w:val="32DC698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B98296D"/>
    <w:multiLevelType w:val="hybridMultilevel"/>
    <w:tmpl w:val="FDFEC66A"/>
    <w:lvl w:ilvl="0" w:tplc="08090009">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5F477684"/>
    <w:multiLevelType w:val="hybridMultilevel"/>
    <w:tmpl w:val="15E68D60"/>
    <w:lvl w:ilvl="0" w:tplc="6D166E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A51567"/>
    <w:multiLevelType w:val="hybridMultilevel"/>
    <w:tmpl w:val="9CBC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4C72B6"/>
    <w:multiLevelType w:val="hybridMultilevel"/>
    <w:tmpl w:val="4B02E05A"/>
    <w:lvl w:ilvl="0" w:tplc="977E25D2">
      <w:start w:val="1"/>
      <w:numFmt w:val="decimal"/>
      <w:lvlText w:val="%1."/>
      <w:lvlJc w:val="left"/>
      <w:pPr>
        <w:ind w:left="7307" w:hanging="360"/>
      </w:pPr>
      <w:rPr>
        <w:b w:val="0"/>
      </w:rPr>
    </w:lvl>
    <w:lvl w:ilvl="1" w:tplc="08090019">
      <w:start w:val="1"/>
      <w:numFmt w:val="lowerLetter"/>
      <w:lvlText w:val="%2."/>
      <w:lvlJc w:val="left"/>
      <w:pPr>
        <w:ind w:left="8027" w:hanging="360"/>
      </w:pPr>
    </w:lvl>
    <w:lvl w:ilvl="2" w:tplc="0809001B" w:tentative="1">
      <w:start w:val="1"/>
      <w:numFmt w:val="lowerRoman"/>
      <w:lvlText w:val="%3."/>
      <w:lvlJc w:val="right"/>
      <w:pPr>
        <w:ind w:left="8747" w:hanging="180"/>
      </w:pPr>
    </w:lvl>
    <w:lvl w:ilvl="3" w:tplc="0809000F" w:tentative="1">
      <w:start w:val="1"/>
      <w:numFmt w:val="decimal"/>
      <w:lvlText w:val="%4."/>
      <w:lvlJc w:val="left"/>
      <w:pPr>
        <w:ind w:left="9467" w:hanging="360"/>
      </w:pPr>
    </w:lvl>
    <w:lvl w:ilvl="4" w:tplc="08090019" w:tentative="1">
      <w:start w:val="1"/>
      <w:numFmt w:val="lowerLetter"/>
      <w:lvlText w:val="%5."/>
      <w:lvlJc w:val="left"/>
      <w:pPr>
        <w:ind w:left="10187" w:hanging="360"/>
      </w:pPr>
    </w:lvl>
    <w:lvl w:ilvl="5" w:tplc="0809001B" w:tentative="1">
      <w:start w:val="1"/>
      <w:numFmt w:val="lowerRoman"/>
      <w:lvlText w:val="%6."/>
      <w:lvlJc w:val="right"/>
      <w:pPr>
        <w:ind w:left="10907" w:hanging="180"/>
      </w:pPr>
    </w:lvl>
    <w:lvl w:ilvl="6" w:tplc="0809000F" w:tentative="1">
      <w:start w:val="1"/>
      <w:numFmt w:val="decimal"/>
      <w:lvlText w:val="%7."/>
      <w:lvlJc w:val="left"/>
      <w:pPr>
        <w:ind w:left="11627" w:hanging="360"/>
      </w:pPr>
    </w:lvl>
    <w:lvl w:ilvl="7" w:tplc="08090019" w:tentative="1">
      <w:start w:val="1"/>
      <w:numFmt w:val="lowerLetter"/>
      <w:lvlText w:val="%8."/>
      <w:lvlJc w:val="left"/>
      <w:pPr>
        <w:ind w:left="12347" w:hanging="360"/>
      </w:pPr>
    </w:lvl>
    <w:lvl w:ilvl="8" w:tplc="0809001B" w:tentative="1">
      <w:start w:val="1"/>
      <w:numFmt w:val="lowerRoman"/>
      <w:lvlText w:val="%9."/>
      <w:lvlJc w:val="right"/>
      <w:pPr>
        <w:ind w:left="13067" w:hanging="180"/>
      </w:pPr>
    </w:lvl>
  </w:abstractNum>
  <w:abstractNum w:abstractNumId="26" w15:restartNumberingAfterBreak="0">
    <w:nsid w:val="69577AF5"/>
    <w:multiLevelType w:val="hybridMultilevel"/>
    <w:tmpl w:val="3670A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5467D2"/>
    <w:multiLevelType w:val="hybridMultilevel"/>
    <w:tmpl w:val="D6ECA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0CB6F1B"/>
    <w:multiLevelType w:val="hybridMultilevel"/>
    <w:tmpl w:val="43F8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9B082D"/>
    <w:multiLevelType w:val="hybridMultilevel"/>
    <w:tmpl w:val="4A4A8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4AC48C0"/>
    <w:multiLevelType w:val="hybridMultilevel"/>
    <w:tmpl w:val="4878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AE7FFB"/>
    <w:multiLevelType w:val="hybridMultilevel"/>
    <w:tmpl w:val="C3760926"/>
    <w:lvl w:ilvl="0" w:tplc="C402072E">
      <w:start w:val="1"/>
      <w:numFmt w:val="lowerLetter"/>
      <w:lvlText w:val="(%1)"/>
      <w:lvlJc w:val="left"/>
      <w:pPr>
        <w:ind w:left="720" w:hanging="360"/>
      </w:pPr>
      <w:rPr>
        <w:rFonts w:hint="default"/>
      </w:rPr>
    </w:lvl>
    <w:lvl w:ilvl="1" w:tplc="30C2FB72">
      <w:start w:val="3"/>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5B5CCF"/>
    <w:multiLevelType w:val="hybridMultilevel"/>
    <w:tmpl w:val="5C2C7A00"/>
    <w:lvl w:ilvl="0" w:tplc="1EBC78E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30"/>
  </w:num>
  <w:num w:numId="3">
    <w:abstractNumId w:val="3"/>
  </w:num>
  <w:num w:numId="4">
    <w:abstractNumId w:val="23"/>
  </w:num>
  <w:num w:numId="5">
    <w:abstractNumId w:val="16"/>
  </w:num>
  <w:num w:numId="6">
    <w:abstractNumId w:val="27"/>
  </w:num>
  <w:num w:numId="7">
    <w:abstractNumId w:val="13"/>
  </w:num>
  <w:num w:numId="8">
    <w:abstractNumId w:val="28"/>
  </w:num>
  <w:num w:numId="9">
    <w:abstractNumId w:val="0"/>
  </w:num>
  <w:num w:numId="10">
    <w:abstractNumId w:val="11"/>
  </w:num>
  <w:num w:numId="11">
    <w:abstractNumId w:val="5"/>
  </w:num>
  <w:num w:numId="12">
    <w:abstractNumId w:val="18"/>
  </w:num>
  <w:num w:numId="13">
    <w:abstractNumId w:val="25"/>
  </w:num>
  <w:num w:numId="14">
    <w:abstractNumId w:val="22"/>
  </w:num>
  <w:num w:numId="15">
    <w:abstractNumId w:val="6"/>
  </w:num>
  <w:num w:numId="16">
    <w:abstractNumId w:val="10"/>
  </w:num>
  <w:num w:numId="17">
    <w:abstractNumId w:val="29"/>
  </w:num>
  <w:num w:numId="18">
    <w:abstractNumId w:val="24"/>
  </w:num>
  <w:num w:numId="19">
    <w:abstractNumId w:val="20"/>
  </w:num>
  <w:num w:numId="20">
    <w:abstractNumId w:val="2"/>
  </w:num>
  <w:num w:numId="21">
    <w:abstractNumId w:val="7"/>
  </w:num>
  <w:num w:numId="22">
    <w:abstractNumId w:val="17"/>
  </w:num>
  <w:num w:numId="23">
    <w:abstractNumId w:val="15"/>
  </w:num>
  <w:num w:numId="24">
    <w:abstractNumId w:val="12"/>
  </w:num>
  <w:num w:numId="25">
    <w:abstractNumId w:val="8"/>
  </w:num>
  <w:num w:numId="26">
    <w:abstractNumId w:val="4"/>
  </w:num>
  <w:num w:numId="27">
    <w:abstractNumId w:val="21"/>
  </w:num>
  <w:num w:numId="28">
    <w:abstractNumId w:val="26"/>
  </w:num>
  <w:num w:numId="29">
    <w:abstractNumId w:val="19"/>
  </w:num>
  <w:num w:numId="30">
    <w:abstractNumId w:val="1"/>
  </w:num>
  <w:num w:numId="31">
    <w:abstractNumId w:val="14"/>
  </w:num>
  <w:num w:numId="32">
    <w:abstractNumId w:val="3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AC"/>
    <w:rsid w:val="00012F10"/>
    <w:rsid w:val="0002177D"/>
    <w:rsid w:val="000659CC"/>
    <w:rsid w:val="00084435"/>
    <w:rsid w:val="00094F51"/>
    <w:rsid w:val="000971A2"/>
    <w:rsid w:val="000A4AFB"/>
    <w:rsid w:val="000F1B76"/>
    <w:rsid w:val="00123689"/>
    <w:rsid w:val="00140556"/>
    <w:rsid w:val="0018226A"/>
    <w:rsid w:val="001B3281"/>
    <w:rsid w:val="002A7D49"/>
    <w:rsid w:val="002F3CA3"/>
    <w:rsid w:val="003758E1"/>
    <w:rsid w:val="00391C23"/>
    <w:rsid w:val="00407A38"/>
    <w:rsid w:val="00481FAD"/>
    <w:rsid w:val="00502456"/>
    <w:rsid w:val="005B4EF6"/>
    <w:rsid w:val="005D70AC"/>
    <w:rsid w:val="005E3B36"/>
    <w:rsid w:val="00600ED3"/>
    <w:rsid w:val="0063327B"/>
    <w:rsid w:val="006379C1"/>
    <w:rsid w:val="006F2DD1"/>
    <w:rsid w:val="00734FB1"/>
    <w:rsid w:val="00751480"/>
    <w:rsid w:val="00836B03"/>
    <w:rsid w:val="00846B35"/>
    <w:rsid w:val="00855B1A"/>
    <w:rsid w:val="00893FBF"/>
    <w:rsid w:val="008A6038"/>
    <w:rsid w:val="008C1438"/>
    <w:rsid w:val="008C371F"/>
    <w:rsid w:val="008F0EE1"/>
    <w:rsid w:val="0090106A"/>
    <w:rsid w:val="00922045"/>
    <w:rsid w:val="0092495D"/>
    <w:rsid w:val="00943116"/>
    <w:rsid w:val="0095193F"/>
    <w:rsid w:val="00987CC8"/>
    <w:rsid w:val="00A0245C"/>
    <w:rsid w:val="00A52744"/>
    <w:rsid w:val="00A62C68"/>
    <w:rsid w:val="00AF3A1F"/>
    <w:rsid w:val="00B957E0"/>
    <w:rsid w:val="00BA4C53"/>
    <w:rsid w:val="00C22B01"/>
    <w:rsid w:val="00C40AA6"/>
    <w:rsid w:val="00C647F5"/>
    <w:rsid w:val="00C851A6"/>
    <w:rsid w:val="00C917EE"/>
    <w:rsid w:val="00C9197C"/>
    <w:rsid w:val="00CA0217"/>
    <w:rsid w:val="00D33172"/>
    <w:rsid w:val="00DC47A3"/>
    <w:rsid w:val="00DD04F0"/>
    <w:rsid w:val="00E051F1"/>
    <w:rsid w:val="00E34F11"/>
    <w:rsid w:val="00E9266D"/>
    <w:rsid w:val="00EA6C86"/>
    <w:rsid w:val="00EC5552"/>
    <w:rsid w:val="00ED07ED"/>
    <w:rsid w:val="00F05169"/>
    <w:rsid w:val="00FB2A41"/>
    <w:rsid w:val="00FB6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3959"/>
  <w15:chartTrackingRefBased/>
  <w15:docId w15:val="{1918FA51-B375-4D92-861A-5BB63619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9C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99"/>
    <w:qFormat/>
    <w:rsid w:val="0090106A"/>
    <w:pPr>
      <w:ind w:left="720"/>
      <w:contextualSpacing/>
    </w:pPr>
  </w:style>
  <w:style w:type="table" w:styleId="TableGrid">
    <w:name w:val="Table Grid"/>
    <w:basedOn w:val="TableNormal"/>
    <w:uiPriority w:val="39"/>
    <w:rsid w:val="00987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99"/>
    <w:qFormat/>
    <w:locked/>
    <w:rsid w:val="00502456"/>
  </w:style>
  <w:style w:type="character" w:styleId="Hyperlink">
    <w:name w:val="Hyperlink"/>
    <w:basedOn w:val="DefaultParagraphFont"/>
    <w:uiPriority w:val="99"/>
    <w:unhideWhenUsed/>
    <w:rsid w:val="008C371F"/>
    <w:rPr>
      <w:color w:val="0563C1"/>
      <w:u w:val="single"/>
    </w:rPr>
  </w:style>
  <w:style w:type="paragraph" w:customStyle="1" w:styleId="xmsonormal">
    <w:name w:val="x_msonormal"/>
    <w:basedOn w:val="Normal"/>
    <w:rsid w:val="008C371F"/>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E34F11"/>
    <w:rPr>
      <w:sz w:val="16"/>
      <w:szCs w:val="16"/>
    </w:rPr>
  </w:style>
  <w:style w:type="paragraph" w:styleId="CommentText">
    <w:name w:val="annotation text"/>
    <w:basedOn w:val="Normal"/>
    <w:link w:val="CommentTextChar"/>
    <w:uiPriority w:val="99"/>
    <w:semiHidden/>
    <w:unhideWhenUsed/>
    <w:rsid w:val="00E34F11"/>
    <w:pPr>
      <w:spacing w:line="240" w:lineRule="auto"/>
    </w:pPr>
    <w:rPr>
      <w:sz w:val="20"/>
      <w:szCs w:val="20"/>
    </w:rPr>
  </w:style>
  <w:style w:type="character" w:customStyle="1" w:styleId="CommentTextChar">
    <w:name w:val="Comment Text Char"/>
    <w:basedOn w:val="DefaultParagraphFont"/>
    <w:link w:val="CommentText"/>
    <w:uiPriority w:val="99"/>
    <w:semiHidden/>
    <w:rsid w:val="00E34F11"/>
    <w:rPr>
      <w:sz w:val="20"/>
      <w:szCs w:val="20"/>
    </w:rPr>
  </w:style>
  <w:style w:type="paragraph" w:styleId="CommentSubject">
    <w:name w:val="annotation subject"/>
    <w:basedOn w:val="CommentText"/>
    <w:next w:val="CommentText"/>
    <w:link w:val="CommentSubjectChar"/>
    <w:uiPriority w:val="99"/>
    <w:semiHidden/>
    <w:unhideWhenUsed/>
    <w:rsid w:val="00E34F11"/>
    <w:rPr>
      <w:b/>
      <w:bCs/>
    </w:rPr>
  </w:style>
  <w:style w:type="character" w:customStyle="1" w:styleId="CommentSubjectChar">
    <w:name w:val="Comment Subject Char"/>
    <w:basedOn w:val="CommentTextChar"/>
    <w:link w:val="CommentSubject"/>
    <w:uiPriority w:val="99"/>
    <w:semiHidden/>
    <w:rsid w:val="00E34F11"/>
    <w:rPr>
      <w:b/>
      <w:bCs/>
      <w:sz w:val="20"/>
      <w:szCs w:val="20"/>
    </w:rPr>
  </w:style>
  <w:style w:type="paragraph" w:styleId="BalloonText">
    <w:name w:val="Balloon Text"/>
    <w:basedOn w:val="Normal"/>
    <w:link w:val="BalloonTextChar"/>
    <w:uiPriority w:val="99"/>
    <w:semiHidden/>
    <w:unhideWhenUsed/>
    <w:rsid w:val="00E34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F11"/>
    <w:rPr>
      <w:rFonts w:ascii="Segoe UI" w:hAnsi="Segoe UI" w:cs="Segoe UI"/>
      <w:sz w:val="18"/>
      <w:szCs w:val="18"/>
    </w:rPr>
  </w:style>
  <w:style w:type="paragraph" w:styleId="FootnoteText">
    <w:name w:val="footnote text"/>
    <w:basedOn w:val="Normal"/>
    <w:link w:val="FootnoteTextChar"/>
    <w:semiHidden/>
    <w:rsid w:val="006F2DD1"/>
    <w:pPr>
      <w:spacing w:after="0" w:line="276"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F2DD1"/>
    <w:rPr>
      <w:rFonts w:ascii="Times New Roman" w:eastAsia="Times New Roman" w:hAnsi="Times New Roman" w:cs="Times New Roman"/>
      <w:sz w:val="20"/>
      <w:szCs w:val="20"/>
      <w:lang w:eastAsia="en-GB"/>
    </w:rPr>
  </w:style>
  <w:style w:type="character" w:styleId="FootnoteReference">
    <w:name w:val="footnote reference"/>
    <w:uiPriority w:val="99"/>
    <w:semiHidden/>
    <w:rsid w:val="006F2DD1"/>
    <w:rPr>
      <w:rFonts w:cs="Times New Roman"/>
      <w:vertAlign w:val="superscript"/>
    </w:rPr>
  </w:style>
  <w:style w:type="character" w:styleId="FollowedHyperlink">
    <w:name w:val="FollowedHyperlink"/>
    <w:basedOn w:val="DefaultParagraphFont"/>
    <w:uiPriority w:val="99"/>
    <w:semiHidden/>
    <w:unhideWhenUsed/>
    <w:rsid w:val="0092495D"/>
    <w:rPr>
      <w:color w:val="954F72" w:themeColor="followedHyperlink"/>
      <w:u w:val="single"/>
    </w:rPr>
  </w:style>
  <w:style w:type="paragraph" w:styleId="Header">
    <w:name w:val="header"/>
    <w:basedOn w:val="Normal"/>
    <w:link w:val="HeaderChar"/>
    <w:uiPriority w:val="99"/>
    <w:unhideWhenUsed/>
    <w:rsid w:val="00924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95D"/>
  </w:style>
  <w:style w:type="paragraph" w:styleId="Footer">
    <w:name w:val="footer"/>
    <w:basedOn w:val="Normal"/>
    <w:link w:val="FooterChar"/>
    <w:uiPriority w:val="99"/>
    <w:unhideWhenUsed/>
    <w:rsid w:val="00924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4406">
      <w:bodyDiv w:val="1"/>
      <w:marLeft w:val="0"/>
      <w:marRight w:val="0"/>
      <w:marTop w:val="0"/>
      <w:marBottom w:val="0"/>
      <w:divBdr>
        <w:top w:val="none" w:sz="0" w:space="0" w:color="auto"/>
        <w:left w:val="none" w:sz="0" w:space="0" w:color="auto"/>
        <w:bottom w:val="none" w:sz="0" w:space="0" w:color="auto"/>
        <w:right w:val="none" w:sz="0" w:space="0" w:color="auto"/>
      </w:divBdr>
    </w:div>
    <w:div w:id="990331905">
      <w:bodyDiv w:val="1"/>
      <w:marLeft w:val="0"/>
      <w:marRight w:val="0"/>
      <w:marTop w:val="0"/>
      <w:marBottom w:val="0"/>
      <w:divBdr>
        <w:top w:val="none" w:sz="0" w:space="0" w:color="auto"/>
        <w:left w:val="none" w:sz="0" w:space="0" w:color="auto"/>
        <w:bottom w:val="none" w:sz="0" w:space="0" w:color="auto"/>
        <w:right w:val="none" w:sz="0" w:space="0" w:color="auto"/>
      </w:divBdr>
    </w:div>
    <w:div w:id="1019434254">
      <w:bodyDiv w:val="1"/>
      <w:marLeft w:val="0"/>
      <w:marRight w:val="0"/>
      <w:marTop w:val="0"/>
      <w:marBottom w:val="0"/>
      <w:divBdr>
        <w:top w:val="none" w:sz="0" w:space="0" w:color="auto"/>
        <w:left w:val="none" w:sz="0" w:space="0" w:color="auto"/>
        <w:bottom w:val="none" w:sz="0" w:space="0" w:color="auto"/>
        <w:right w:val="none" w:sz="0" w:space="0" w:color="auto"/>
      </w:divBdr>
    </w:div>
    <w:div w:id="1487621738">
      <w:bodyDiv w:val="1"/>
      <w:marLeft w:val="0"/>
      <w:marRight w:val="0"/>
      <w:marTop w:val="0"/>
      <w:marBottom w:val="0"/>
      <w:divBdr>
        <w:top w:val="none" w:sz="0" w:space="0" w:color="auto"/>
        <w:left w:val="none" w:sz="0" w:space="0" w:color="auto"/>
        <w:bottom w:val="none" w:sz="0" w:space="0" w:color="auto"/>
        <w:right w:val="none" w:sz="0" w:space="0" w:color="auto"/>
      </w:divBdr>
    </w:div>
    <w:div w:id="1492408998">
      <w:bodyDiv w:val="1"/>
      <w:marLeft w:val="0"/>
      <w:marRight w:val="0"/>
      <w:marTop w:val="0"/>
      <w:marBottom w:val="0"/>
      <w:divBdr>
        <w:top w:val="none" w:sz="0" w:space="0" w:color="auto"/>
        <w:left w:val="none" w:sz="0" w:space="0" w:color="auto"/>
        <w:bottom w:val="none" w:sz="0" w:space="0" w:color="auto"/>
        <w:right w:val="none" w:sz="0" w:space="0" w:color="auto"/>
      </w:divBdr>
    </w:div>
    <w:div w:id="1554342925">
      <w:bodyDiv w:val="1"/>
      <w:marLeft w:val="0"/>
      <w:marRight w:val="0"/>
      <w:marTop w:val="0"/>
      <w:marBottom w:val="0"/>
      <w:divBdr>
        <w:top w:val="none" w:sz="0" w:space="0" w:color="auto"/>
        <w:left w:val="none" w:sz="0" w:space="0" w:color="auto"/>
        <w:bottom w:val="none" w:sz="0" w:space="0" w:color="auto"/>
        <w:right w:val="none" w:sz="0" w:space="0" w:color="auto"/>
      </w:divBdr>
    </w:div>
    <w:div w:id="17200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macyconsultations@health-n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ni.gov.uk/consultation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2012/1916/schedule/16/m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11"/>
    <w:rsid w:val="00531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48612824204CB4BF91E936630E4EFC">
    <w:name w:val="A448612824204CB4BF91E936630E4EFC"/>
    <w:rsid w:val="00531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1542</Words>
  <Characters>8148</Characters>
  <Application>Microsoft Office Word</Application>
  <DocSecurity>0</DocSecurity>
  <Lines>208</Lines>
  <Paragraphs>92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Hudson</dc:creator>
  <cp:keywords/>
  <dc:description/>
  <cp:lastModifiedBy>Foster, Cathy</cp:lastModifiedBy>
  <cp:revision>2</cp:revision>
  <dcterms:created xsi:type="dcterms:W3CDTF">2021-12-17T12:21:00Z</dcterms:created>
  <dcterms:modified xsi:type="dcterms:W3CDTF">2021-12-17T12:21:00Z</dcterms:modified>
</cp:coreProperties>
</file>